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00" w:before="200"/>
        <w:jc w:val="both"/>
      </w:pPr>
      <w:r>
        <w:rPr>
          <w:rFonts w:ascii="Arial" w:cs="Arial" w:eastAsia="Arial" w:hAnsi="Arial"/>
          <w:sz w:val="24"/>
          <w:szCs w:val="24"/>
        </w:rPr>
        <w:t xml:space="preserve">от 20 января 2021 года № 13</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ремесленной деятельности в Кыргызской Республике"</w:t>
      </w:r>
    </w:p>
    <w:p>
      <w:pPr>
        <w:spacing w:after="60"/>
        <w:ind w:firstLine="567"/>
        <w:jc w:val="both"/>
      </w:pPr>
      <w:r>
        <w:rPr>
          <w:rFonts w:ascii="Arial" w:cs="Arial" w:eastAsia="Arial" w:hAnsi="Arial"/>
          <w:sz w:val="24"/>
          <w:szCs w:val="24"/>
        </w:rPr>
        <w:t xml:space="preserve">В соответствии со </w:t>
      </w:r>
      <w:hyperlink w:history="1" r:id="rIdb9ubhkgfnomxvcgfnyisv">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w:t>
      </w:r>
      <w:hyperlink w:history="1" r:id="rId45zrwxsoxz8nfojjhxru9">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ремесленной деятельности в Кыргызской Республике", инициированным депутатами Жогорку Кенеша Кыргызской Республики Алтыбаевой А.Т., Осмоновой А.Ш., Карашевым А.А., Аскаровой А.А., Мамашовой А.Т., Мавляновой М.Э., Строковой Е.Г., Никитенко Н.В., Орозовой К.Б., Алимбековым Н.К., Каримовым Н.Т., Момбековым Р.Ч.</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 первый вице-премьер-министр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А.Новиков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20 января 2021 года № 13</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ремесленной деятельности в Кыргызской Республике"</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vpqnkzntsvel57lwtd2j0">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ремесленной деятельности в Кыргызской Республике" (далее - проект Закона), инициированный депутатами Жогорку Кенеша Кыргызской Республики Алтыбаевой А.Т., Осмоновой А.Ш., Карашевым А.А., Аскаровой А.А., Мамашовой А.Т., Мавляновой М.Э., Строковой Е.Г., Никитенко Н.В., Орозовой К.Б., Алимбековым Н.К., Каримовым Н.Т., Момбековым Р.Ч., приходит к следующему заключению.</w:t>
      </w:r>
    </w:p>
    <w:p>
      <w:pPr>
        <w:spacing w:after="60"/>
        <w:ind w:firstLine="567"/>
        <w:jc w:val="both"/>
      </w:pPr>
      <w:r>
        <w:rPr>
          <w:rFonts w:ascii="Arial" w:cs="Arial" w:eastAsia="Arial" w:hAnsi="Arial"/>
          <w:sz w:val="24"/>
          <w:szCs w:val="24"/>
        </w:rPr>
        <w:t xml:space="preserve">1. Статьей 4 проекта Закона определены полномочия органов государственной власти и органов местного самоуправления по государственной поддержке ремесленной деятельности.</w:t>
      </w:r>
    </w:p>
    <w:p>
      <w:pPr>
        <w:spacing w:after="60"/>
        <w:ind w:firstLine="567"/>
        <w:jc w:val="both"/>
      </w:pPr>
      <w:r>
        <w:rPr>
          <w:rFonts w:ascii="Arial" w:cs="Arial" w:eastAsia="Arial" w:hAnsi="Arial"/>
          <w:sz w:val="24"/>
          <w:szCs w:val="24"/>
        </w:rPr>
        <w:t xml:space="preserve">В частности, частью 2 указанной статьи проекта Закона предлагается установить, что органы государственной власти и органы местного самоуправления в пределах своих полномочий обеспечивают правовые, экономические, социальные и иные условия для сохранения, возрождения и развития ремесленной деятельности.</w:t>
      </w:r>
    </w:p>
    <w:p>
      <w:pPr>
        <w:spacing w:after="60"/>
        <w:ind w:firstLine="567"/>
        <w:jc w:val="both"/>
      </w:pPr>
      <w:r>
        <w:rPr>
          <w:rFonts w:ascii="Arial" w:cs="Arial" w:eastAsia="Arial" w:hAnsi="Arial"/>
          <w:sz w:val="24"/>
          <w:szCs w:val="24"/>
        </w:rPr>
        <w:t xml:space="preserve">При этом обращаем внимание, что в статье 6 проекта Закона установлены полномочия Правительства Кыргызской Республики, местных государственных администраций и органов местного самоуправления, в том числе органов государственной власти, в части формирования и реализации государственной поддержки ремесленной деятельности.</w:t>
      </w:r>
    </w:p>
    <w:p>
      <w:pPr>
        <w:spacing w:after="60"/>
        <w:ind w:firstLine="567"/>
        <w:jc w:val="both"/>
      </w:pPr>
      <w:r>
        <w:rPr>
          <w:rFonts w:ascii="Arial" w:cs="Arial" w:eastAsia="Arial" w:hAnsi="Arial"/>
          <w:sz w:val="24"/>
          <w:szCs w:val="24"/>
        </w:rPr>
        <w:t xml:space="preserve">В этой связи отмечаем, что нормы, указанные в части 2 статьи 4 и статье 6 проекта Закона, по сути дублируют друг друга.</w:t>
      </w:r>
    </w:p>
    <w:p>
      <w:pPr>
        <w:spacing w:after="60"/>
        <w:ind w:firstLine="567"/>
        <w:jc w:val="both"/>
      </w:pPr>
      <w:r>
        <w:rPr>
          <w:rFonts w:ascii="Arial" w:cs="Arial" w:eastAsia="Arial" w:hAnsi="Arial"/>
          <w:sz w:val="24"/>
          <w:szCs w:val="24"/>
        </w:rPr>
        <w:t xml:space="preserve">Одновременно необходимо отметить, что в </w:t>
      </w:r>
      <w:hyperlink w:history="1" r:id="rIdlopbynhjchqtwzl6y7kdv">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Закона Кыргызской Республики "О местной государственной администрации" определена компетенция местной государственной администрации, среди которых вопросы поддержки ремесленной деятельности отсутствуют.</w:t>
      </w:r>
    </w:p>
    <w:p>
      <w:pPr>
        <w:spacing w:after="60"/>
        <w:ind w:firstLine="567"/>
        <w:jc w:val="both"/>
      </w:pPr>
      <w:r>
        <w:rPr>
          <w:rFonts w:ascii="Arial" w:cs="Arial" w:eastAsia="Arial" w:hAnsi="Arial"/>
          <w:sz w:val="24"/>
          <w:szCs w:val="24"/>
        </w:rPr>
        <w:t xml:space="preserve">Кроме этого следует учесть, что согласно </w:t>
      </w:r>
      <w:hyperlink w:history="1" r:id="rId_eldpfgjeqevmvviyupse">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Закона Кыргызской Республики "О местном самоуправлении" органы местного самоуправления осуществляют свою деятельность в соответствии с вопросами местного значения. При этом отмечаем, что вопросы по поддержке ремесленной деятельности, отраженные в части 2 статьи 4 и статье 6 проекта Закона, не относятся к вопросам местного значения.</w:t>
      </w:r>
    </w:p>
    <w:p>
      <w:pPr>
        <w:spacing w:after="60"/>
        <w:ind w:firstLine="567"/>
        <w:jc w:val="both"/>
      </w:pPr>
      <w:r>
        <w:rPr>
          <w:rFonts w:ascii="Arial" w:cs="Arial" w:eastAsia="Arial" w:hAnsi="Arial"/>
          <w:sz w:val="24"/>
          <w:szCs w:val="24"/>
        </w:rPr>
        <w:t xml:space="preserve">В порядке информации сообщаем, что на 2020 год из 453 айыл окмоту 371 являются дотационными, получают выравнивающие гранты из республиканского бюджета, что, следовательно, не позволит им направлять средства местного бюджета на другие направления.</w:t>
      </w:r>
    </w:p>
    <w:p>
      <w:pPr>
        <w:spacing w:after="60"/>
        <w:ind w:firstLine="567"/>
        <w:jc w:val="both"/>
      </w:pPr>
      <w:r>
        <w:rPr>
          <w:rFonts w:ascii="Arial" w:cs="Arial" w:eastAsia="Arial" w:hAnsi="Arial"/>
          <w:sz w:val="24"/>
          <w:szCs w:val="24"/>
        </w:rPr>
        <w:t xml:space="preserve">С учетом изложенного, принимая во внимание, что государственная власть в Кыргызской Республике согласно части 4 </w:t>
      </w:r>
      <w:hyperlink w:history="1" r:id="rId-cev2gfvxosqkib0y5cux">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Конституции Кыргызской Республики основывается на принципе разграничения функций и полномочий государственных органов и органов местного самоуправления, во избежание затруднений в правоприменительной практике содержание статьи 4 и 6 проекта Закона предлагаем пересмотреть и доработать.</w:t>
      </w:r>
    </w:p>
    <w:p>
      <w:pPr>
        <w:spacing w:after="60"/>
        <w:ind w:firstLine="567"/>
        <w:jc w:val="both"/>
      </w:pPr>
      <w:r>
        <w:rPr>
          <w:rFonts w:ascii="Arial" w:cs="Arial" w:eastAsia="Arial" w:hAnsi="Arial"/>
          <w:sz w:val="24"/>
          <w:szCs w:val="24"/>
        </w:rPr>
        <w:t xml:space="preserve">Аналогичные замечания по частям 6 и 7 статьи 7 проекта Закона в части, касающейся полномочий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2. В соответствии с частью 6 </w:t>
      </w:r>
      <w:hyperlink w:history="1" r:id="rIdtpnvcqiiv4wygmjv3iamy">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Налогового кодекса Кыргызской Республики (далее - Налоговый кодекс),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w:t>
      </w:r>
    </w:p>
    <w:p>
      <w:pPr>
        <w:spacing w:after="60"/>
        <w:ind w:firstLine="567"/>
        <w:jc w:val="both"/>
      </w:pPr>
      <w:r>
        <w:rPr>
          <w:rFonts w:ascii="Arial" w:cs="Arial" w:eastAsia="Arial" w:hAnsi="Arial"/>
          <w:sz w:val="24"/>
          <w:szCs w:val="24"/>
        </w:rPr>
        <w:t xml:space="preserve">При этом, согласно части 3 </w:t>
      </w:r>
      <w:hyperlink w:history="1" r:id="rIdzwyxutplgxdluzfopbhqs">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Налогового кодекса налоги не могут иметь дискриминационный характер и применяться исходя из гендерных, социальных, расовых, национальных, религиозных критериев.</w:t>
      </w:r>
    </w:p>
    <w:p>
      <w:pPr>
        <w:spacing w:after="60"/>
        <w:ind w:firstLine="567"/>
        <w:jc w:val="both"/>
      </w:pPr>
      <w:r>
        <w:rPr>
          <w:rFonts w:ascii="Arial" w:cs="Arial" w:eastAsia="Arial" w:hAnsi="Arial"/>
          <w:sz w:val="24"/>
          <w:szCs w:val="24"/>
        </w:rPr>
        <w:t xml:space="preserve">Кроме того, Налоговый </w:t>
      </w:r>
      <w:hyperlink w:history="1" r:id="rIdgxapjazpsz_ejhyqvjxi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предусматривает единый подход к налогообложению хозяйствующих субъектов и основывается на принципах обязательности уплаты налогов и сборов в бюджет, определенности, справедливости обложения налогами и сборами, единства налоговой системы, стабильности и гласности законодательства о налогах и сборах.</w:t>
      </w:r>
    </w:p>
    <w:p>
      <w:pPr>
        <w:spacing w:after="60"/>
        <w:ind w:firstLine="567"/>
        <w:jc w:val="both"/>
      </w:pPr>
      <w:r>
        <w:rPr>
          <w:rFonts w:ascii="Arial" w:cs="Arial" w:eastAsia="Arial" w:hAnsi="Arial"/>
          <w:sz w:val="24"/>
          <w:szCs w:val="24"/>
        </w:rPr>
        <w:t xml:space="preserve">Любые льготы, предоставляемые отдельным хозяйствующим субъектам, приводят к нарушению одного из основных принципов налогообложения - принципа справедливости, предполагающего создание одинаковых условий хозяйствования для всех хозяйствующих субъектов, и что налоги должны распределяться между отдельными субъектами справедливо и равномерно.</w:t>
      </w:r>
    </w:p>
    <w:p>
      <w:pPr>
        <w:spacing w:after="60"/>
        <w:ind w:firstLine="567"/>
        <w:jc w:val="both"/>
      </w:pPr>
      <w:r>
        <w:rPr>
          <w:rFonts w:ascii="Arial" w:cs="Arial" w:eastAsia="Arial" w:hAnsi="Arial"/>
          <w:sz w:val="24"/>
          <w:szCs w:val="24"/>
        </w:rPr>
        <w:t xml:space="preserve">Создание многочисленных налоговых льгот затрудняет выполнение предписаний налогового законодательства, усложняет процесс взимания налогов и приводит к злоупотреблениям недобросовестных налогоплательщиков.</w:t>
      </w:r>
    </w:p>
    <w:p>
      <w:pPr>
        <w:spacing w:after="60"/>
        <w:ind w:firstLine="567"/>
        <w:jc w:val="both"/>
      </w:pPr>
      <w:r>
        <w:rPr>
          <w:rFonts w:ascii="Arial" w:cs="Arial" w:eastAsia="Arial" w:hAnsi="Arial"/>
          <w:sz w:val="24"/>
          <w:szCs w:val="24"/>
        </w:rPr>
        <w:t xml:space="preserve">Следует отметить, что подобные шаги оправданны только тогда, когда есть основания полагать, что это не приведет к снижению доходов бюджета, или есть очень веские причины пожертвовать частью доходов бюджета (которые должны будут компенсироваться за счет других источников).</w:t>
      </w:r>
    </w:p>
    <w:p>
      <w:pPr>
        <w:spacing w:after="60"/>
        <w:ind w:firstLine="567"/>
        <w:jc w:val="both"/>
      </w:pPr>
      <w:r>
        <w:rPr>
          <w:rFonts w:ascii="Arial" w:cs="Arial" w:eastAsia="Arial" w:hAnsi="Arial"/>
          <w:sz w:val="24"/>
          <w:szCs w:val="24"/>
        </w:rPr>
        <w:t xml:space="preserve">Также, в соответствии с частью 2 </w:t>
      </w:r>
      <w:hyperlink w:history="1" r:id="rIdgft8cnqf1abjeeniv_lbx">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Налогового кодекса, запрещается предоставление налоговых льгот индивидуального характера.</w:t>
      </w:r>
    </w:p>
    <w:p>
      <w:pPr>
        <w:spacing w:after="60"/>
        <w:ind w:firstLine="567"/>
        <w:jc w:val="both"/>
      </w:pPr>
      <w:r>
        <w:rPr>
          <w:rFonts w:ascii="Arial" w:cs="Arial" w:eastAsia="Arial" w:hAnsi="Arial"/>
          <w:sz w:val="24"/>
          <w:szCs w:val="24"/>
        </w:rPr>
        <w:t xml:space="preserve">С учетом изложенного, абзац второй части 2 статьи 4 проекта Закона предлагаем исключить.</w:t>
      </w:r>
    </w:p>
    <w:p>
      <w:pPr>
        <w:spacing w:after="60"/>
        <w:ind w:firstLine="567"/>
        <w:jc w:val="both"/>
      </w:pPr>
      <w:r>
        <w:rPr>
          <w:rFonts w:ascii="Arial" w:cs="Arial" w:eastAsia="Arial" w:hAnsi="Arial"/>
          <w:sz w:val="24"/>
          <w:szCs w:val="24"/>
        </w:rPr>
        <w:t xml:space="preserve">3. Учитывая, что вопросы ученического договора, в том числе содержание ученического договора, оплата ученичества, распространение на учеников трудового законодательства подробно регламентированы Трудовым </w:t>
      </w:r>
      <w:hyperlink w:history="1" r:id="rIdngls6mfh8ouvgcxgwzka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статью 10 проекта Закона предлагаем исключить.</w:t>
      </w:r>
    </w:p>
    <w:p>
      <w:pPr>
        <w:spacing w:after="60"/>
        <w:ind w:firstLine="567"/>
        <w:jc w:val="both"/>
      </w:pPr>
      <w:r>
        <w:rPr>
          <w:rFonts w:ascii="Arial" w:cs="Arial" w:eastAsia="Arial" w:hAnsi="Arial"/>
          <w:sz w:val="24"/>
          <w:szCs w:val="24"/>
        </w:rPr>
        <w:t xml:space="preserve">4. Главой III проекта Закона предлагается урегулировать вопросы профессионального образования ремесленников, которые включают в себя гарантии прав граждан Кыргызской Республики в области профессионального образования ремесленников, образовательные программы ремесленников, управление образовательной деятельности по подготовке ремесленников.</w:t>
      </w:r>
    </w:p>
    <w:p>
      <w:pPr>
        <w:spacing w:after="60"/>
        <w:ind w:firstLine="567"/>
        <w:jc w:val="both"/>
      </w:pPr>
      <w:r>
        <w:rPr>
          <w:rFonts w:ascii="Arial" w:cs="Arial" w:eastAsia="Arial" w:hAnsi="Arial"/>
          <w:sz w:val="24"/>
          <w:szCs w:val="24"/>
        </w:rPr>
        <w:t xml:space="preserve">Однако необходимо отметить, что вопросы подготовки специалистов в той или иной области, профессиональной подготовки и образования являются сферой регулирования </w:t>
      </w:r>
      <w:hyperlink w:history="1" r:id="rIdqjtgkdvizkhpaxzj0lh_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в этой связи главу III проекта Закона предлагаем исключить.</w:t>
      </w:r>
    </w:p>
    <w:p>
      <w:pPr>
        <w:spacing w:after="60"/>
        <w:ind w:firstLine="567"/>
        <w:jc w:val="both"/>
      </w:pPr>
      <w:r>
        <w:rPr>
          <w:rFonts w:ascii="Arial" w:cs="Arial" w:eastAsia="Arial" w:hAnsi="Arial"/>
          <w:sz w:val="24"/>
          <w:szCs w:val="24"/>
        </w:rPr>
        <w:t xml:space="preserve">5. Следует отметить, что термин "законодательство" является обобщенным, носит расплывчатый характер, предоставляющий возможность широкой трактовки.</w:t>
      </w:r>
    </w:p>
    <w:p>
      <w:pPr>
        <w:spacing w:after="60"/>
        <w:ind w:firstLine="567"/>
        <w:jc w:val="both"/>
      </w:pPr>
      <w:r>
        <w:rPr>
          <w:rFonts w:ascii="Arial" w:cs="Arial" w:eastAsia="Arial" w:hAnsi="Arial"/>
          <w:sz w:val="24"/>
          <w:szCs w:val="24"/>
        </w:rPr>
        <w:t xml:space="preserve">Так, в соответствии со </w:t>
      </w:r>
      <w:hyperlink w:history="1" r:id="rIdhxqs_mzypxuozfdpovari">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w:t>
      </w:r>
    </w:p>
    <w:p>
      <w:pPr>
        <w:spacing w:after="60"/>
        <w:ind w:firstLine="567"/>
        <w:jc w:val="both"/>
      </w:pPr>
      <w:r>
        <w:rPr>
          <w:rFonts w:ascii="Arial" w:cs="Arial" w:eastAsia="Arial" w:hAnsi="Arial"/>
          <w:sz w:val="24"/>
          <w:szCs w:val="24"/>
        </w:rPr>
        <w:t xml:space="preserve">Кроме того, согласно пункту 78 </w:t>
      </w:r>
      <w:hyperlink w:history="1" r:id="rIdxqmrye-fkzyyuxrngrbx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h5g4krwlvrnlmvefhctr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(например, "регулируются в соответствии с законодательством").</w:t>
      </w:r>
    </w:p>
    <w:p>
      <w:pPr>
        <w:spacing w:after="60"/>
        <w:ind w:firstLine="567"/>
        <w:jc w:val="both"/>
      </w:pPr>
      <w:r>
        <w:rPr>
          <w:rFonts w:ascii="Arial" w:cs="Arial" w:eastAsia="Arial" w:hAnsi="Arial"/>
          <w:sz w:val="24"/>
          <w:szCs w:val="24"/>
        </w:rPr>
        <w:t xml:space="preserve">В связи с этим, в целях недопущения проблем в правоприменительной практике, необходимо в абзацах одиннадцатом и четырнадцатом статьи 3, в части 1 и в абзаце восьмом части 2 статьи 4, в абзаце третьем части 2, в частях 3 и 4 статьи 5, в абзацах тестом и седьмом части 1 и в абзаце шестом части 2 статьи 9, в абзаце втором части 6 статьи 12 обозначить сферу регулирования законодательства.</w:t>
      </w:r>
    </w:p>
    <w:p>
      <w:pPr>
        <w:spacing w:after="60"/>
        <w:ind w:firstLine="567"/>
        <w:jc w:val="both"/>
      </w:pPr>
      <w:r>
        <w:rPr>
          <w:rFonts w:ascii="Arial" w:cs="Arial" w:eastAsia="Arial" w:hAnsi="Arial"/>
          <w:sz w:val="24"/>
          <w:szCs w:val="24"/>
        </w:rPr>
        <w:t xml:space="preserve">6. Статьей 17 проекта Закона Правительству Кыргызской Республики поручается в трехмесячный срок привести свои решения в соответствие с данным Законом и принять необходимые нормативные правовые акты по вопросам, отнесенным данным Законом к компетенции Правительства Кыргызской Республики, в случае его принятия.</w:t>
      </w:r>
    </w:p>
    <w:p>
      <w:pPr>
        <w:spacing w:after="60"/>
        <w:ind w:firstLine="567"/>
        <w:jc w:val="both"/>
      </w:pPr>
      <w:r>
        <w:rPr>
          <w:rFonts w:ascii="Arial" w:cs="Arial" w:eastAsia="Arial" w:hAnsi="Arial"/>
          <w:sz w:val="24"/>
          <w:szCs w:val="24"/>
        </w:rPr>
        <w:t xml:space="preserve">При этом следует отметить, что согласно </w:t>
      </w:r>
      <w:hyperlink w:history="1" r:id="rId05jhys96nsubbw73xptbd">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Ввиду чего предлагаем дополнить справку-обоснование к проекту Закона сведениями о необходимости разработки или внесения соответствующих поправок в нормативные правовые акты Правительства Кыргызской Республики.</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в статье 18 проекта Закона следует увеличить срок его вступления в силу, в целях устранения правового вакуума между Законом и подзаконными актами.</w:t>
      </w:r>
    </w:p>
    <w:p>
      <w:pPr>
        <w:spacing w:after="60"/>
        <w:ind w:firstLine="567"/>
        <w:jc w:val="both"/>
      </w:pPr>
      <w:r>
        <w:rPr>
          <w:rFonts w:ascii="Arial" w:cs="Arial" w:eastAsia="Arial" w:hAnsi="Arial"/>
          <w:sz w:val="24"/>
          <w:szCs w:val="24"/>
        </w:rPr>
        <w:t xml:space="preserve">Одновременно следует учесть, что в соответствии со </w:t>
      </w:r>
      <w:hyperlink w:history="1" r:id="rId8xjqojfp12_c4y5sbemwu">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регулирующие предпринимательскую деятельность, вступают в силу не ранее пятнадцати дней со дня официального опубликования.</w:t>
      </w:r>
    </w:p>
    <w:p>
      <w:pPr>
        <w:spacing w:after="60"/>
        <w:ind w:firstLine="567"/>
        <w:jc w:val="both"/>
      </w:pPr>
      <w:r>
        <w:rPr>
          <w:rFonts w:ascii="Arial" w:cs="Arial" w:eastAsia="Arial" w:hAnsi="Arial"/>
          <w:sz w:val="24"/>
          <w:szCs w:val="24"/>
        </w:rPr>
        <w:t xml:space="preserve">7. В прилагаемой к проекту Закона справке-обосновании указывается, что проект Закона не подлежит анализу регулятивного воздействия, поскольку не направлен на регулирование предпринимательской деятельности.</w:t>
      </w:r>
    </w:p>
    <w:p>
      <w:pPr>
        <w:spacing w:after="60"/>
        <w:ind w:firstLine="567"/>
        <w:jc w:val="both"/>
      </w:pPr>
      <w:r>
        <w:rPr>
          <w:rFonts w:ascii="Arial" w:cs="Arial" w:eastAsia="Arial" w:hAnsi="Arial"/>
          <w:sz w:val="24"/>
          <w:szCs w:val="24"/>
        </w:rPr>
        <w:t xml:space="preserve">Вместе с тем в приложенных к проекту Закона материалах имеется анализ регулятивного воздействия.</w:t>
      </w:r>
    </w:p>
    <w:p>
      <w:pPr>
        <w:spacing w:after="60"/>
        <w:ind w:firstLine="567"/>
        <w:jc w:val="both"/>
      </w:pPr>
      <w:r>
        <w:rPr>
          <w:rFonts w:ascii="Arial" w:cs="Arial" w:eastAsia="Arial" w:hAnsi="Arial"/>
          <w:sz w:val="24"/>
          <w:szCs w:val="24"/>
        </w:rPr>
        <w:t xml:space="preserve">При этом отмечаем, что представленный анализ регулятивного воздействия требует тщательной доработки в соответствии с </w:t>
      </w:r>
      <w:hyperlink w:history="1" r:id="rIdebqgahuy4lsmy_fbvhkmp">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_jkfphs7znwanu2gxolm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с указанием формулировки проблем, перечня количественных и качественных индикаторов достижения целей с целевыми значениями для оценки их достижения, альтернативных вариантов регулирования.</w:t>
      </w:r>
    </w:p>
    <w:p>
      <w:pPr>
        <w:spacing w:after="60"/>
        <w:ind w:firstLine="567"/>
        <w:jc w:val="both"/>
      </w:pPr>
      <w:r>
        <w:rPr>
          <w:rFonts w:ascii="Arial" w:cs="Arial" w:eastAsia="Arial" w:hAnsi="Arial"/>
          <w:sz w:val="24"/>
          <w:szCs w:val="24"/>
        </w:rPr>
        <w:t xml:space="preserve">8. Согласно </w:t>
      </w:r>
      <w:hyperlink w:history="1" r:id="rId1i_5pfgsxt12pxg-7iyz_">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справка-обоснование проекта нормативного правового акта должна содержать сведения о результатах консультаций и обсуждений с соответствующими ассоциациями, союзами органов местного самоуправления, если проект нормативного правового акта непосредственно затрагивает интересы местных сообществ и органов местного самоуправления.</w:t>
      </w:r>
    </w:p>
    <w:p>
      <w:pPr>
        <w:spacing w:after="60"/>
        <w:ind w:firstLine="567"/>
        <w:jc w:val="both"/>
      </w:pPr>
      <w:r>
        <w:rPr>
          <w:rFonts w:ascii="Arial" w:cs="Arial" w:eastAsia="Arial" w:hAnsi="Arial"/>
          <w:sz w:val="24"/>
          <w:szCs w:val="24"/>
        </w:rPr>
        <w:t xml:space="preserve">Однако справка-обоснование к проекту Закона не содержит сведения о результатах консультаций и обсуждений с соответствующими ассоциациями, союзами органов местного самоуправления.</w:t>
      </w:r>
    </w:p>
    <w:p>
      <w:pPr>
        <w:spacing w:after="60"/>
        <w:ind w:firstLine="567"/>
        <w:jc w:val="both"/>
      </w:pPr>
      <w:r>
        <w:rPr>
          <w:rFonts w:ascii="Arial" w:cs="Arial" w:eastAsia="Arial" w:hAnsi="Arial"/>
          <w:sz w:val="24"/>
          <w:szCs w:val="24"/>
        </w:rPr>
        <w:t xml:space="preserve">9. В справке-обосновании к проекту Закона указано, что принятие данного проекта Закона не потребует дополнительных финансовых затрат из государственного бюджета.</w:t>
      </w:r>
    </w:p>
    <w:p>
      <w:pPr>
        <w:spacing w:after="60"/>
        <w:ind w:firstLine="567"/>
        <w:jc w:val="both"/>
      </w:pPr>
      <w:r>
        <w:rPr>
          <w:rFonts w:ascii="Arial" w:cs="Arial" w:eastAsia="Arial" w:hAnsi="Arial"/>
          <w:sz w:val="24"/>
          <w:szCs w:val="24"/>
        </w:rPr>
        <w:t xml:space="preserve">Между тем необходимо отметить, что реализация представленного проекта Закона, в случае его принятия, потребует увеличения расходов, покрываемых за счет республиканского бюджета.</w:t>
      </w:r>
    </w:p>
    <w:p>
      <w:pPr>
        <w:spacing w:after="60"/>
        <w:ind w:firstLine="567"/>
        <w:jc w:val="both"/>
      </w:pPr>
      <w:r>
        <w:rPr>
          <w:rFonts w:ascii="Arial" w:cs="Arial" w:eastAsia="Arial" w:hAnsi="Arial"/>
          <w:sz w:val="24"/>
          <w:szCs w:val="24"/>
        </w:rPr>
        <w:t xml:space="preserve">Однако к законопроекту не приложены финансово-экономические расчеты, а также не определены наличие источников финансирования, которые потребуются для его реализации.</w:t>
      </w:r>
    </w:p>
    <w:p>
      <w:pPr>
        <w:spacing w:after="60"/>
        <w:ind w:firstLine="567"/>
        <w:jc w:val="both"/>
      </w:pPr>
      <w:r>
        <w:rPr>
          <w:rFonts w:ascii="Arial" w:cs="Arial" w:eastAsia="Arial" w:hAnsi="Arial"/>
          <w:sz w:val="24"/>
          <w:szCs w:val="24"/>
        </w:rPr>
        <w:t xml:space="preserve">В соответствии со </w:t>
      </w:r>
      <w:hyperlink w:history="1" r:id="rIdcn9ac8g9cmyheivdo2tag">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Конституции Кыргызской Республики принятие данного законопроекта Жогорку Кенешем Кыргызской Республики возможно только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Следует учесть, что согласно части 1 </w:t>
      </w:r>
      <w:hyperlink w:history="1" r:id="rIdr5xerpjrcjsywyd2txxth">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целом вышеназванный проект Закона требует тщательной доработки в соответствии с </w:t>
      </w:r>
      <w:hyperlink w:history="1" r:id="rIdwxktcjvzgu0nontbsh6y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iiwi2zk6gr0il6aul649k">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vnr7qpn4w5-dgzx_wxrv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ремесленной деятельности в Кыргызской Республике",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knrvv9b5xoxmix5ukrwl">
      <w:r>
        <w:rPr>
          <w:rFonts w:ascii="Arial" w:cs="Arial" w:eastAsia="Arial" w:hAnsi="Arial"/>
          <w:color w:val="132D3F"/>
          <w:sz w:val="16"/>
          <w:szCs w:val="16"/>
          <w:u w:val="single"/>
        </w:rPr>
        <w:t xml:space="preserve">dalil.kg/document/158015</w:t>
      </w:r>
    </w:hyperlink>
  </w:p>
  <w:p>
    <w:pPr>
      <w:spacing w:after="0" w:before="40"/>
      <w:jc w:val="center"/>
    </w:pPr>
    <w:hyperlink w:history="1" r:id="rId77yc-xrvw1bk7o1vm3o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9ubhkgfnomxvcgfnyisv" Type="http://schemas.openxmlformats.org/officeDocument/2006/relationships/hyperlink" Target="https://dalil.kg/document/203685#st_31" TargetMode="External"/><Relationship Id="rId45zrwxsoxz8nfojjhxru9" Type="http://schemas.openxmlformats.org/officeDocument/2006/relationships/hyperlink" Target="https://dalil.kg/document/158015#pr" TargetMode="External"/><Relationship Id="rIdvpqnkzntsvel57lwtd2j0" Type="http://schemas.openxmlformats.org/officeDocument/2006/relationships/hyperlink" Target="https://dalil.kg/document/203685#st_31" TargetMode="External"/><Relationship Id="rIdlopbynhjchqtwzl6y7kdv" Type="http://schemas.openxmlformats.org/officeDocument/2006/relationships/hyperlink" Target="https://dalil.kg/document/203101#st_9" TargetMode="External"/><Relationship Id="rId_eldpfgjeqevmvviyupse" Type="http://schemas.openxmlformats.org/officeDocument/2006/relationships/hyperlink" Target="https://dalil.kg/document/203102#st_18" TargetMode="External"/><Relationship Id="rId-cev2gfvxosqkib0y5cux" Type="http://schemas.openxmlformats.org/officeDocument/2006/relationships/hyperlink" Target="https://dalil.kg/document/202913#st_3" TargetMode="External"/><Relationship Id="rIdtpnvcqiiv4wygmjv3iamy" Type="http://schemas.openxmlformats.org/officeDocument/2006/relationships/hyperlink" Target="https://dalil.kg/document/202445#st_5" TargetMode="External"/><Relationship Id="rIdzwyxutplgxdluzfopbhqs" Type="http://schemas.openxmlformats.org/officeDocument/2006/relationships/hyperlink" Target="https://dalil.kg/document/202445#st_10" TargetMode="External"/><Relationship Id="rIdgxapjazpsz_ejhyqvjxit" Type="http://schemas.openxmlformats.org/officeDocument/2006/relationships/hyperlink" Target="https://dalil.kg/document/202445" TargetMode="External"/><Relationship Id="rIdgft8cnqf1abjeeniv_lbx" Type="http://schemas.openxmlformats.org/officeDocument/2006/relationships/hyperlink" Target="https://dalil.kg/document/202445#st_10" TargetMode="External"/><Relationship Id="rIdngls6mfh8ouvgcxgwzkau" Type="http://schemas.openxmlformats.org/officeDocument/2006/relationships/hyperlink" Target="https://dalil.kg/document/1505" TargetMode="External"/><Relationship Id="rIdqjtgkdvizkhpaxzj0lh_f" Type="http://schemas.openxmlformats.org/officeDocument/2006/relationships/hyperlink" Target="https://dalil.kg/document/1216" TargetMode="External"/><Relationship Id="rIdhxqs_mzypxuozfdpovari" Type="http://schemas.openxmlformats.org/officeDocument/2006/relationships/hyperlink" Target="https://dalil.kg/document/202591#st_2" TargetMode="External"/><Relationship Id="rIdxqmrye-fkzyyuxrngrbxq" Type="http://schemas.openxmlformats.org/officeDocument/2006/relationships/hyperlink" Target="https://dalil.kg/document/76491" TargetMode="External"/><Relationship Id="rIdh5g4krwlvrnlmvefhctrt" Type="http://schemas.openxmlformats.org/officeDocument/2006/relationships/hyperlink" Target="https://dalil.kg/document/76490" TargetMode="External"/><Relationship Id="rId05jhys96nsubbw73xptbd" Type="http://schemas.openxmlformats.org/officeDocument/2006/relationships/hyperlink" Target="https://dalil.kg/document/202591#st_24" TargetMode="External"/><Relationship Id="rId8xjqojfp12_c4y5sbemwu" Type="http://schemas.openxmlformats.org/officeDocument/2006/relationships/hyperlink" Target="https://dalil.kg/document/202591#st_30" TargetMode="External"/><Relationship Id="rIdebqgahuy4lsmy_fbvhkmp" Type="http://schemas.openxmlformats.org/officeDocument/2006/relationships/hyperlink" Target="https://dalil.kg/document/157874" TargetMode="External"/><Relationship Id="rId_jkfphs7znwanu2gxolms" Type="http://schemas.openxmlformats.org/officeDocument/2006/relationships/hyperlink" Target="https://dalil.kg/document/157873" TargetMode="External"/><Relationship Id="rId1i_5pfgsxt12pxg-7iyz_" Type="http://schemas.openxmlformats.org/officeDocument/2006/relationships/hyperlink" Target="https://dalil.kg/document/202591#st_25" TargetMode="External"/><Relationship Id="rIdcn9ac8g9cmyheivdo2tag" Type="http://schemas.openxmlformats.org/officeDocument/2006/relationships/hyperlink" Target="https://dalil.kg/document/202913#st_80" TargetMode="External"/><Relationship Id="rIdr5xerpjrcjsywyd2txxth" Type="http://schemas.openxmlformats.org/officeDocument/2006/relationships/hyperlink" Target="https://dalil.kg/document/202591#st_26" TargetMode="External"/><Relationship Id="rIdwxktcjvzgu0nontbsh6ya" Type="http://schemas.openxmlformats.org/officeDocument/2006/relationships/hyperlink" Target="https://dalil.kg/document/202591" TargetMode="External"/><Relationship Id="rIdiiwi2zk6gr0il6aul649k" Type="http://schemas.openxmlformats.org/officeDocument/2006/relationships/hyperlink" Target="https://dalil.kg/document/766491" TargetMode="External"/><Relationship Id="rIdvnr7qpn4w5-dgzx_wxrvi" Type="http://schemas.openxmlformats.org/officeDocument/2006/relationships/hyperlink" Target="https://dalil.kg/document/764990"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knrvv9b5xoxmix5ukrwl" Type="http://schemas.openxmlformats.org/officeDocument/2006/relationships/hyperlink" Target="https://dalil.kg/document/158015" TargetMode="External"/><Relationship Id="rId77yc-xrvw1bk7o1vm3o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2026-09-29T23:40:55.987Z</dcterms:created>
  <dcterms:modified xsi:type="dcterms:W3CDTF">2026-09-29T23:40:55.987Z</dcterms:modified>
</cp:coreProperties>
</file>

<file path=docProps/custom.xml><?xml version="1.0" encoding="utf-8"?>
<Properties xmlns="http://schemas.openxmlformats.org/officeDocument/2006/custom-properties" xmlns:vt="http://schemas.openxmlformats.org/officeDocument/2006/docPropsVTypes"/>
</file>