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480"/>
        <w:jc w:val="both"/>
      </w:pPr>
      <w:r>
        <w:rPr>
          <w:rFonts w:ascii="Arial" w:cs="Arial" w:eastAsia="Arial" w:hAnsi="Arial"/>
          <w:sz w:val="24"/>
          <w:szCs w:val="24"/>
        </w:rPr>
        <w:t xml:space="preserve">от 30 декабря 2020 года № 635</w:t>
      </w:r>
    </w:p>
    <w:p>
      <w:pPr>
        <w:spacing w:after="60" w:before="200"/>
        <w:ind w:firstLine="567"/>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4ufpf8dqw9kfsigziwvvr">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roimgdcxar5lagxeqqac2">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gzbzg3ypd9ce0xensbeh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Акаевым Ж., Нурбаевым А., Керезбековым К. и Маматалиевым М.</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декабря 2020 года № 635</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qvxcjfjws4v51zz_mlckl">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925u_ykaylc7qj4zlhtt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Акаевым Ж., Нурбаевым А., Керезбековым К. и Маматалиевым М.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Проектом Закона предлагается внесение изменений в </w:t>
      </w:r>
      <w:hyperlink w:history="1" r:id="rId5geib5p7ea5kitssilvdy">
        <w:r>
          <w:rPr>
            <w:rFonts w:ascii="Arial" w:cs="Arial" w:eastAsia="Arial" w:hAnsi="Arial"/>
            <w:color w:val="1D4ED8"/>
            <w:sz w:val="24"/>
            <w:szCs w:val="24"/>
            <w:u w:val="single"/>
          </w:rPr>
          <w:t xml:space="preserve">статью 101</w:t>
        </w:r>
      </w:hyperlink>
      <w:r>
        <w:rPr>
          <w:rFonts w:ascii="Arial" w:cs="Arial" w:eastAsia="Arial" w:hAnsi="Arial"/>
          <w:sz w:val="24"/>
          <w:szCs w:val="24"/>
        </w:rPr>
        <w:t xml:space="preserve"> Кодекса Кыргызской Республики о неналоговых доходах, предусматривающих нормы о том, что государственными образовательными организациями арендная плата от сдачи в аренду государственного имущества будет уплачиваться в доход республиканского бюджета в размере 30 процентов, вместо 100 процентов, предусмотренных действующими нормами </w:t>
      </w:r>
      <w:hyperlink w:history="1" r:id="rIdsxmahykg0oxb5gc9v10d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остальные 70 процентов будут использованы на содержание и ремонт имущества, сдаваемого в аренду, а также на финансовое и материально-техническое обеспечение деятельности указанных организаций.</w:t>
      </w:r>
    </w:p>
    <w:p>
      <w:pPr>
        <w:spacing w:after="60"/>
        <w:ind w:firstLine="567"/>
        <w:jc w:val="both"/>
      </w:pPr>
      <w:r>
        <w:rPr>
          <w:rFonts w:ascii="Arial" w:cs="Arial" w:eastAsia="Arial" w:hAnsi="Arial"/>
          <w:sz w:val="24"/>
          <w:szCs w:val="24"/>
        </w:rPr>
        <w:t xml:space="preserve">1. Правительство отмечает, что неясно, на какой счет государственных образовательных организаций будет поступать 70 процентов средств от арендной платы для дальнейшего использования. Согласно действующим нормам бюджетного законодательства возникает необходимость зачисления указанных средств на специальный счет государственных образовательных организаций.</w:t>
      </w:r>
    </w:p>
    <w:p>
      <w:pPr>
        <w:spacing w:after="60"/>
        <w:ind w:firstLine="567"/>
        <w:jc w:val="both"/>
      </w:pPr>
      <w:r>
        <w:rPr>
          <w:rFonts w:ascii="Arial" w:cs="Arial" w:eastAsia="Arial" w:hAnsi="Arial"/>
          <w:sz w:val="24"/>
          <w:szCs w:val="24"/>
        </w:rPr>
        <w:t xml:space="preserve">Однако, согласно нормам Бюджетного </w:t>
      </w:r>
      <w:hyperlink w:history="1" r:id="rIdpcuav0obtuevqepk3ztx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администраторы ресурсов бюджета должны обеспечить незамедлительное перечисление ресурсов бюджета на Единый казначейский счет, который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Так, частью 6 </w:t>
      </w:r>
      <w:hyperlink w:history="1" r:id="rIdsm2avxf_rmfmfqva--hyk">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Бюджетного кодекса Кыргызской Республики предусмотрено, что казначейские лицевые счета по источникам образования средств подразделяются на бюджетные, специальные и депозитные счета. Согласно нормам пункта 2 части 6 вышеуказанной статьи на специальных счетах учитываются поступления в виде: оказания платных государственных и муниципальных услуг, спонсорской помощи и добровольных взносов, попечительских взносов, благотворительной или грантовой помощи, отчислении от международных институтов для проведения совместной научно-исследовательской работы и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Следовательно, 70 процентов средств арендной платы от сдачи в аренду государственного имущества не могут поступать на специальный счет государственных образовательных организаций согласно нормам Бюджетного </w:t>
      </w:r>
      <w:hyperlink w:history="1" r:id="rIdt8hs1k-acuhnphf91uys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Кроме этого, в справке-обосновании к проекту Закона указывается, что после принятия </w:t>
      </w:r>
      <w:hyperlink w:history="1" r:id="rIdvopccyl-sxltzqrpum00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усложнилась процедура выделения государственным образовательным организациям 70 процентов средств с арендных платежей, поступивших в доход республиканского бюджета.</w:t>
      </w:r>
    </w:p>
    <w:p>
      <w:pPr>
        <w:spacing w:after="60"/>
        <w:ind w:firstLine="567"/>
        <w:jc w:val="both"/>
      </w:pPr>
      <w:r>
        <w:rPr>
          <w:rFonts w:ascii="Arial" w:cs="Arial" w:eastAsia="Arial" w:hAnsi="Arial"/>
          <w:sz w:val="24"/>
          <w:szCs w:val="24"/>
        </w:rPr>
        <w:t xml:space="preserve">Однако, направление 70 процентов от поступивших в доход республиканского бюджета средств арендной платы от сдачи в аренду государственного имущества для всех бюджетных учреждений осуществляется по единой процедуре, без выделения каких-либо приоритетных направлений.</w:t>
      </w:r>
    </w:p>
    <w:p>
      <w:pPr>
        <w:spacing w:after="60"/>
        <w:ind w:firstLine="567"/>
        <w:jc w:val="both"/>
      </w:pPr>
      <w:r>
        <w:rPr>
          <w:rFonts w:ascii="Arial" w:cs="Arial" w:eastAsia="Arial" w:hAnsi="Arial"/>
          <w:sz w:val="24"/>
          <w:szCs w:val="24"/>
        </w:rPr>
        <w:t xml:space="preserve">В этой связи отмечаем, что предусмотренные проектом Закона нормы о том, что государственными образовательными организациями арендная плата от сдачи в аренду государственного имущества будет уплачиваться в доход республиканского бюджета в размере 30 процентов, вместо 100 процентов, предусмотренных действующими нормами </w:t>
      </w:r>
      <w:hyperlink w:history="1" r:id="rIdem7_t3-shsm1wi05zrvg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являются дискриминационными в отношении государственных организаций в сфере здравоохранения, культуры, а также в отношении других бюджетных учреждений.</w:t>
      </w:r>
    </w:p>
    <w:p>
      <w:pPr>
        <w:spacing w:after="60"/>
        <w:ind w:firstLine="567"/>
        <w:jc w:val="both"/>
      </w:pPr>
      <w:r>
        <w:rPr>
          <w:rFonts w:ascii="Arial" w:cs="Arial" w:eastAsia="Arial" w:hAnsi="Arial"/>
          <w:sz w:val="24"/>
          <w:szCs w:val="24"/>
        </w:rPr>
        <w:t xml:space="preserve">Таким образом, предлагаемая проектом Закона норма противоречит принципам единства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3. Частью 2 статьи 2 проекта Закона Правительству Кыргызской Республики поручается в трехмесячный срок привести свои решения в соответствие с указанным Законом.</w:t>
      </w:r>
    </w:p>
    <w:p>
      <w:pPr>
        <w:spacing w:after="60"/>
        <w:ind w:firstLine="567"/>
        <w:jc w:val="both"/>
      </w:pPr>
      <w:r>
        <w:rPr>
          <w:rFonts w:ascii="Arial" w:cs="Arial" w:eastAsia="Arial" w:hAnsi="Arial"/>
          <w:sz w:val="24"/>
          <w:szCs w:val="24"/>
        </w:rPr>
        <w:t xml:space="preserve">В соответствии со </w:t>
      </w:r>
      <w:hyperlink w:history="1" r:id="rIdj7tlocvuislbrcwigdeth">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предлагаемого проекта Закона.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07dflnyuvk3shztocen">
      <w:r>
        <w:rPr>
          <w:rFonts w:ascii="Arial" w:cs="Arial" w:eastAsia="Arial" w:hAnsi="Arial"/>
          <w:color w:val="132D3F"/>
          <w:sz w:val="16"/>
          <w:szCs w:val="16"/>
          <w:u w:val="single"/>
        </w:rPr>
        <w:t xml:space="preserve">dalil.kg/document/158041</w:t>
      </w:r>
    </w:hyperlink>
  </w:p>
  <w:p>
    <w:pPr>
      <w:spacing w:after="0" w:before="40"/>
      <w:jc w:val="center"/>
    </w:pPr>
    <w:hyperlink w:history="1" r:id="rIdozsnn0nnwqw-nawnckk1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fpf8dqw9kfsigziwvvr" Type="http://schemas.openxmlformats.org/officeDocument/2006/relationships/hyperlink" Target="https://dalil.kg/document/203686#st_31" TargetMode="External"/><Relationship Id="rIdroimgdcxar5lagxeqqac2" Type="http://schemas.openxmlformats.org/officeDocument/2006/relationships/hyperlink" Target="https://dalil.kg/document/158041#pr" TargetMode="External"/><Relationship Id="rIdgzbzg3ypd9ce0xensbeh8" Type="http://schemas.openxmlformats.org/officeDocument/2006/relationships/hyperlink" Target="https://dalil.kg/document/111820" TargetMode="External"/><Relationship Id="rIdqvxcjfjws4v51zz_mlckl" Type="http://schemas.openxmlformats.org/officeDocument/2006/relationships/hyperlink" Target="https://dalil.kg/document/203686" TargetMode="External"/><Relationship Id="rId925u_ykaylc7qj4zlhtts" Type="http://schemas.openxmlformats.org/officeDocument/2006/relationships/hyperlink" Target="https://dalil.kg/document/111820" TargetMode="External"/><Relationship Id="rId5geib5p7ea5kitssilvdy" Type="http://schemas.openxmlformats.org/officeDocument/2006/relationships/hyperlink" Target="https://dalil.kg/document/111820#st_101" TargetMode="External"/><Relationship Id="rIdsxmahykg0oxb5gc9v10dy" Type="http://schemas.openxmlformats.org/officeDocument/2006/relationships/hyperlink" Target="https://dalil.kg/document/111820" TargetMode="External"/><Relationship Id="rIdpcuav0obtuevqepk3ztxw" Type="http://schemas.openxmlformats.org/officeDocument/2006/relationships/hyperlink" Target="https://dalil.kg/document/111338" TargetMode="External"/><Relationship Id="rIdsm2avxf_rmfmfqva--hyk" Type="http://schemas.openxmlformats.org/officeDocument/2006/relationships/hyperlink" Target="https://dalil.kg/document/111338#st_105" TargetMode="External"/><Relationship Id="rIdt8hs1k-acuhnphf91uyss" Type="http://schemas.openxmlformats.org/officeDocument/2006/relationships/hyperlink" Target="https://dalil.kg/document/111338" TargetMode="External"/><Relationship Id="rIdvopccyl-sxltzqrpum00t" Type="http://schemas.openxmlformats.org/officeDocument/2006/relationships/hyperlink" Target="https://dalil.kg/document/111820" TargetMode="External"/><Relationship Id="rIdem7_t3-shsm1wi05zrvg3" Type="http://schemas.openxmlformats.org/officeDocument/2006/relationships/hyperlink" Target="https://dalil.kg/document/111820" TargetMode="External"/><Relationship Id="rIdj7tlocvuislbrcwigdeth" Type="http://schemas.openxmlformats.org/officeDocument/2006/relationships/hyperlink" Target="https://dalil.kg/document/202591#st_2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07dflnyuvk3shztocen" Type="http://schemas.openxmlformats.org/officeDocument/2006/relationships/hyperlink" Target="https://dalil.kg/document/158041" TargetMode="External"/><Relationship Id="rIdozsnn0nnwqw-nawnckk1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2026-09-30T00:28:44.523Z</dcterms:created>
  <dcterms:modified xsi:type="dcterms:W3CDTF">2026-09-30T00:28:44.523Z</dcterms:modified>
</cp:coreProperties>
</file>

<file path=docProps/custom.xml><?xml version="1.0" encoding="utf-8"?>
<Properties xmlns="http://schemas.openxmlformats.org/officeDocument/2006/custom-properties" xmlns:vt="http://schemas.openxmlformats.org/officeDocument/2006/docPropsVTypes"/>
</file>