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hyperlink w:history="1" r:id="rIddg3ynowwsuzrr9hzjuj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 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
 от 10 февраля 2021 года № 36)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определения норм нагрузки скота на пастбищные угодья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определения норм нагрузки скота на пастбищные угодья Кыргызской Республики (далее - Положение) разработано в целях недопущения опустынивания, деградации земель сельскохозяйственного назначения, в соответствии с Земельным </w:t>
      </w:r>
      <w:hyperlink w:history="1" r:id="rIdoxnrfiiymnwht2jocxa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t_zuhgmfj6mh-p5cwvl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пастбищах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ssjbaoard14mkkymfj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распространяет свое действие на пастбищные угодья Кыргызской Республики, в том числе на лесные пастбища (далее - пастбища).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Положение устанавливает порядок определения норм нагрузки скота на пастбищные угодья Кыргызской Республики и направлено на сохранение экологического баланса, естественного травостоя, осуществление расчетов по норме нагрузки на пастбищные угодья с целью рационального использования пастбищ Кыргызской Республики (далее - нормы нагрузки).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Понятия, применяемые в настоящем Положении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пастбища</w:t>
      </w:r>
      <w:r>
        <w:rPr>
          <w:rFonts w:ascii="Arial" w:cs="Arial" w:eastAsia="Arial" w:hAnsi="Arial"/>
          <w:sz w:val="24"/>
          <w:szCs w:val="24"/>
        </w:rPr>
        <w:t xml:space="preserve"> - вид сельскохозяйственных угодий, покрытых травянистой растительностью, используемых в виде подножного корма для выпаса скота и в иных целях, отраженных в земельно-учетных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пастбища лесные</w:t>
      </w:r>
      <w:r>
        <w:rPr>
          <w:rFonts w:ascii="Arial" w:cs="Arial" w:eastAsia="Arial" w:hAnsi="Arial"/>
          <w:sz w:val="24"/>
          <w:szCs w:val="24"/>
        </w:rPr>
        <w:t xml:space="preserve"> - земли государственного лесного фонда с травянистой растительностью, используемые для выпаса животных (скота) без ущерба лесному хозяйству;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нагрузка пастбищ</w:t>
      </w:r>
      <w:r>
        <w:rPr>
          <w:rFonts w:ascii="Arial" w:cs="Arial" w:eastAsia="Arial" w:hAnsi="Arial"/>
          <w:sz w:val="24"/>
          <w:szCs w:val="24"/>
        </w:rPr>
        <w:t xml:space="preserve"> - количество животных, приходящееся на один гектар пастбищного угодья за весь пастбищный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нормы нагрузки</w:t>
      </w:r>
      <w:r>
        <w:rPr>
          <w:rFonts w:ascii="Arial" w:cs="Arial" w:eastAsia="Arial" w:hAnsi="Arial"/>
          <w:sz w:val="24"/>
          <w:szCs w:val="24"/>
        </w:rPr>
        <w:t xml:space="preserve"> - дифференцированные нормы нагрузки по видам сельскохозяйственных животных на общую площадь пастбищ, по регионам в разрезе типов пастбищ и природно-климатических зон, где может осуществляться выпас сельскохозяйственных животных без нанесения ущерба ботаническому составу пастбищного травостоя и его продуктивности;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урожайность</w:t>
      </w:r>
      <w:r>
        <w:rPr>
          <w:rFonts w:ascii="Arial" w:cs="Arial" w:eastAsia="Arial" w:hAnsi="Arial"/>
          <w:sz w:val="24"/>
          <w:szCs w:val="24"/>
        </w:rPr>
        <w:t xml:space="preserve"> - количество пастбищного корма, получаемого с одного гектара за вегетационный период, выраженное в кормовых единицах;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кормовая единица</w:t>
      </w:r>
      <w:r>
        <w:rPr>
          <w:rFonts w:ascii="Arial" w:cs="Arial" w:eastAsia="Arial" w:hAnsi="Arial"/>
          <w:sz w:val="24"/>
          <w:szCs w:val="24"/>
        </w:rPr>
        <w:t xml:space="preserve"> - условный кормовой эквивалент, характеризующий питательное и продуктивное действие корма. Одна кормовая единица (к.е.) соответствует питательности 1 кг овса;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геоботанические обследования пастбищ</w:t>
      </w:r>
      <w:r>
        <w:rPr>
          <w:rFonts w:ascii="Arial" w:cs="Arial" w:eastAsia="Arial" w:hAnsi="Arial"/>
          <w:sz w:val="24"/>
          <w:szCs w:val="24"/>
        </w:rPr>
        <w:t xml:space="preserve"> - обследования, проводимые в целях определения продуктивности пастбищ, строения и ботанического состава травостоя, мест его произрастания, возможности использования пастбищ для выпаса различных видов сельскохозяйственных животных, качества травянистой и древесно-кустарниковой растительности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базовые показатели</w:t>
      </w:r>
      <w:r>
        <w:rPr>
          <w:rFonts w:ascii="Arial" w:cs="Arial" w:eastAsia="Arial" w:hAnsi="Arial"/>
          <w:sz w:val="24"/>
          <w:szCs w:val="24"/>
        </w:rPr>
        <w:t xml:space="preserve"> - минимальные пороговые показатели, определяющие норму нагрузки скота на один гектар пастбищных угодий одной условной головы, включающие коэффициент к урожайности, содержание кормовых единиц в одном центнере корма и урожайность центнера/гектар (ц/га) сухой поедаемой массы.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Определение нормы нагрузки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Нормы нагрузки определяются в расчете на один гектар. Нормы нагрузки на пастбищные угодья выражаются в количестве условных голов скота, которое может обеспечить кормом единица площади пастбища.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Нагрузка устанавливается на весь пастбищный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Нагрузка определяется в зависимости от типологического состава растительности, коэффициента использования пастбищных угодий (травостоя по сезонам) и урожайности. Норма нагрузки на пастбища Кыргызской Республики на территории соответствующего айылного аймака устанавливается органами местного самоуправления, с учетом природно-климатических условий, урожайности, суточной нормы корма не ниже базовых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Определение норм нагрузки осуществляется по каждому айылному аймаку в отдельности.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Установленные нормы нагрузки должны быть включены в план сообщества по управлению и использованию пастбищ.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Коэффициент перевода поголовья скота в условные головы (далее - УГ), определяемый в соответствии с </w:t>
      </w:r>
      <w:hyperlink w:history="1" r:id="rId_pnsewy2wnf2vzzdwt-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июня 2009 года № 386, представлен в 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48"/>
        <w:gridCol w:w="4230"/>
      </w:tblGrid>
      <w:tr>
        <w:tc>
          <w:tcPr>
            <w:tcW w:type="dxa" w:w="59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Животное</w:t>
            </w:r>
          </w:p>
        </w:tc>
        <w:tc>
          <w:tcPr>
            <w:tcW w:type="dxa" w:w="4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Условное поголовье (УГ)</w:t>
            </w:r>
          </w:p>
        </w:tc>
      </w:tr>
      <w:tr>
        <w:tc>
          <w:tcPr>
            <w:tcW w:type="dxa" w:w="59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Крупный рогатый скот/яки, взрослые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Крупный рогатый скот/яки, молодняки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59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Овцы/козы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59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Лошади, ослы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Верблюды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Расчет нагрузки условной головы на 1 га пастбища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 - нагрузка на 1 га пастбищ, условных голов;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 - урожайность кормовых единиц ц/га;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- суточная норма израсходованного корма на одну условную голову, кормовых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Урожайность пастбища в ц/га сухой массы определяется исходя из базовых показателей, включающих "коэффициент к урожайности", "питательность содержания кормовых единиц в одном центнере корма сухой массы" и "фактическую урожайность пастбищ (ц/га)", и рассчитывается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 = К х П (к.е.) х Уф,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 - урожайность;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- коэффициент к урожайности;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 - питательность содержания кормовых единиц в 1 центнере корма сухой массы;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Уф - фактическая урожайность пастбищ (ц/га).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Средняя суточная норма корма составляет: для овец - 1,2 к.е., для крупного рогатого скота - 6 к.е.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если необходимо вычислить нагрузку животных (овец) на солянковые пастбища в Ноокатском районе Ошской области, то расчет будет следующим: 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если необходимо вычислить нагрузку на одну условную единицу крупного рогатого скота на солянковые пастбища в Ноокатском районе Ошской области, то расчет будет следующим: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Базовые показатели норм нагрузки скота изменяются на основе данных о пастбищах на территории Кыргызской Республики по результатам республиканских новых геоботанических обследований.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Соблюдение норм нагрузки скота на пастбищные угодья на территории Кыргызской Республики, установленных органами местного самоуправления, обязательно для исполнения всеми пастбищепользователями, независимо от формы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bw4tzbhklp6_kklg9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dalil.kg/document/158053</w:t>
      </w:r>
    </w:hyperlink>
  </w:p>
  <w:p>
    <w:pPr>
      <w:spacing w:after="0" w:before="40"/>
      <w:jc w:val="center"/>
    </w:pPr>
    <w:hyperlink w:history="1" r:id="rIdhsebcyu7gxz0dz0osnf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3ynowwsuzrr9hzjujmc" Type="http://schemas.openxmlformats.org/officeDocument/2006/relationships/hyperlink" Target="https://dalil.kg/document/158049" TargetMode="External"/><Relationship Id="rIdoxnrfiiymnwht2jocxaal" Type="http://schemas.openxmlformats.org/officeDocument/2006/relationships/hyperlink" Target="https://dalil.kg/document/8" TargetMode="External"/><Relationship Id="rIdt_zuhgmfj6mh-p5cwvlpd" Type="http://schemas.openxmlformats.org/officeDocument/2006/relationships/hyperlink" Target="https://dalil.kg/document/202594" TargetMode="External"/><Relationship Id="rIdrssjbaoard14mkkymfj1b" Type="http://schemas.openxmlformats.org/officeDocument/2006/relationships/hyperlink" Target="https://dalil.kg/document/203102" TargetMode="External"/><Relationship Id="rId_pnsewy2wnf2vzzdwt-nl" Type="http://schemas.openxmlformats.org/officeDocument/2006/relationships/hyperlink" Target="https://dalil.kg/document/9005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bw4tzbhklp6_kklg96z" Type="http://schemas.openxmlformats.org/officeDocument/2006/relationships/hyperlink" Target="https://dalil.kg/document/158053" TargetMode="External"/><Relationship Id="rIdhsebcyu7gxz0dz0osnfy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2026-09-25T00:08:12.758Z</dcterms:created>
  <dcterms:modified xsi:type="dcterms:W3CDTF">2026-09-25T00:08:12.758Z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