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b0-npmfzd6hklywosmm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формы отчета по подоходному налогу, по средствам государственного социального страхования и трудовым отношениям и порядка ее заполнения и представления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b2tmk1v_vxvnoivix7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ttukedudlmrqvv_4ms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</w:t>
      </w:r>
      <w:hyperlink w:history="1" r:id="rIdm2t9zymeav0mjvh32f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государственном социальном страховании", статьями </w:t>
      </w:r>
      <w:hyperlink w:history="1" r:id="rId9meqhnjiz9lthojxn32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vlsu9wwngiyscn90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8-0d-knfr3szim07wg2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отчета по подоходному налогу, по средствам государственного социального страхования и трудовым отношениям (FORM STI-161)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66i-r83mrjxuwrz04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подоходному налогу, по средствам государственного социального страхования и трудовым отношениям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-161)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f86yhz7e1q2m9qbci_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ym5bbce-ewfrjum6qf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выплаченных суммах доходов и удержанного подоходного налога налоговым агентом (FORM STI-017), утвержденном вышеуказанным </w:t>
      </w:r>
      <w:hyperlink w:history="1" r:id="rIdzzxbqvxkmjdlbowsijj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"налоговым агентом" заменить словами "налоговым агентом - субъектом малого и среднего предпринимательства, некоммерческой организацией";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f6w7jmtmbqvu8pi4dx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Информации о суммах выплаченных доходов и удержанного подоходного налога налоговым агентом с физических лиц, работающих по договорам, заключенным в соответствии с трудовым законодательством Кыргызской Республики (FORM STI-058), утвержденном вышеуказанным </w:t>
      </w:r>
      <w:hyperlink w:history="1" r:id="rIdumpfc85l1zp85hrwph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"налоговым агентом" заменить словами "налоговым агентом - субъектом малого и среднего предпринимательства, некоммерческой организацией".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pmjki85ptm_h-_ucjk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отчетности и порядков их заполнения и представления" от 9 октября 2015 года № 699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"и FORM STI-134"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uzivrns061ornsipxq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отчета по подоходному налогу, удерживаемому налоговым агентом (FORM STI-132, FORM STI-33 и FORM STI-134), утвержденном вышеуказанным </w:t>
      </w:r>
      <w:hyperlink w:history="1" r:id="rIdpjurnbslh5orvvbx0lh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", FORM STI-134"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раздела 2 слова "и налогового агента (за исключением субъекта малого и среднего предпринимательства, некоммерческой организации (FORM STI-134)"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отчете FORM STI-132:".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xkurp5t3mifjnvrq0vb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xyjmvuawobj2zk7etf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dgvcjm-w8stmux22mu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wkkvstvqco_zmpqkk6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"Плательщики страховых взносов, не являющиеся субъектами малого и среднего предпринимательства, некоммерческой организацией в соответствии с налоговым законодательством Кыргызской Республики, ежемесячно составляют и представляют расчетную ведомость по средствам обязательного государственного социального страхования, по форме и порядку, утвержденным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апреля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FORM STI-161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Отчет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по подоходному налогу, по средствам государственного социального страхования и трудовым отношениям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заполнения и представления отчета по подоходному налогу, по средствам государственного социального страхования и трудовым отношениям
 (FORM STI-161)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Порядок определяет порядок заполнения и представления формы отчета по подоходному налогу, по средствам государственного социального страхования и трудовым отношениям (FORM STI-161) (далее - Отчет), предназначенного для представления налоговым агентом, не являющимся субъектом малого или среднего предпринимательства или некоммерческой организацией, в налоговые органы по месту уплаты подоходного налога и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Отчет представляется плательщиками в виде электронного документа в порядке, определяемом Правительством Кыргызской Республики не позднее дня, следующего за 20 числом месяца, следующего за отчетным месяцем.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В ячейке 001: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 случае, если отчет сдается впервые за отчетный период, отметка в виде знака "X" указывается в ячейке "первоначальный";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 случае, если ранее за этот же отчетный период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случае, если отчет сдается в связи с ликвидацией плательщика, отметка в виде знака "X" ставится в ячейке "ликвидационный".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ячейке 901 указывается дата принятия отчета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ячейке 902 указывается ИНН сотрудника налогового органа, принявшего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Показатели, отражаемые в ячейках 102, 103, 104, 107, 901 и 902 отчета, должны быть идентичны данным, отраженным в этих ячейках в приложении.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 Порядок заполнения информации о плательщике подоходного налога и страховых взносов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В ячейке 102 указывается ИНН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В ячейке 103 указываются полное наименование плательщика или фамилия, имя, отчество (далее - ФИО).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ячейке 104 указываются код и наименование налогового органа по месту налоговой и/или учетной регистрации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В ячейке 107 указывается код плательщика по Общему классификатору предприятий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В ячейке 112 указывается индекс почтового отделения по месту фактического местонахождения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В ячейке 113 указывается фактическое местонахождения налогоплательщика (область, город, район, село).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ячейке 114 указывается адрес фактического местонахождения плательщика (наименование улицы, номер дома, офиса, квартиры).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ячейке 115 указывается номер телефона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ячейке 116 указывается адрес электронной почты 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ячейке 117 указывается регистрационный учетный номер плательщика, присвоенный региональным органом страховщика и указанный в извещении страхователю.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ячейке 118 указывается коэффициент высокогорья/отдаленности, в соответствии со следующим классификатором: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коэффициент высокогорья;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коэффициент отдаленных районов.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в случае отсутствия показателя данная ячейка не заполняется, т.е. значение поля будет пустым.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ячейке 119 указывается вид тарифа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ячейке 120 указывается размер среднемесячной заработной платы, принимаемый для исчисления страховых взносов, установленный Национальным статистическим комитетом Кыргызской Республики, и сложившийся в районах и городах республики за предыдущий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В ячейке 130 указывается код административно-территориальной единицы фактического местонахождения налогоплательщика, согласно Государственному классификатору системы обозначений объектов административно-территориальных единиц (СОАТЕ).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В ячейке 131 указывается код экономической деятельности плательщика по Государственному классификатору экономической деятельности (ГКЭД).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В ячейке 132 указывается организационно-правовая форма (ОПФ).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В ячейке 133 указывается форма собственности (ФС).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В ячейке 134 указывается количество календарных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В ячейке 201 указывается дата начала отчетного периода, за который представляется отчет (день, месяц и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В ячейке 202 указывается дата последнего дня отчетного периода, за который представляется отчет (день, месяц и год).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 Порядок заполнения информации по подоходному налогу, по средствам государственного социального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В ячейке 203 указывается общее количество работников, указанных в приложении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В ячейке 204 указывается итоговая сумма графы 11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В ячейке 205 указывается итоговая сумма графы 13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В ячейке 206 указывается итоговая сумма графы 14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В ячейке 207 указывается итоговая сумма графы 15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В ячейке 208 указывается итоговая сумма графы 16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В ячейке 209 указывается итоговая сумма графы 17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В ячейке 210 указывается итоговая сумма графы 18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В ячейке 211 указывается общая сумма доходов, выплаченных физическим лицам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В ячейке 212 указывается общая сумма подоходного налога, подлежащая перечислению в бюджет за отчетный период, включая сумму подоходного налога, исчисленного при применении минимального расчетного дохода.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В ячейке 213 указывается итоговая сумма графы 19 приложения к Отчету.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В ячейке 214 указывается итоговая сумма графы 20 приложения к Отчету.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 Порядок заполнения информации о работниках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В ячейке 301 указывается численность работников списочного состава, как работающих, так и сохраняющих формальное прикрепление к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Среднесписочная численность работников за месяц исчисляется путем суммирования численности работников списочного состава за все календарные дни месяца, т.е. включая праздничные и выходные дни и деления полученной суммы на число календарных дней в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В ячейке 302 указываются фактически отработанные работниками часы с учетом сверхурочных и отработанных в праздничные (нерабочие) и выходные (по графику) дни, как по основной работе (должности), так и по совмещаемой в этой же организации работе, включая часы работы в служебных командировках.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Порядок расчета человеко-часов.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Например: "ЧЧ = Ч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+ Ч</w:t>
      </w:r>
      <w:r>
        <w:rPr>
          <w:rFonts w:ascii="Arial" w:cs="Arial" w:eastAsia="Arial" w:hAnsi="Arial"/>
          <w:sz w:val="22"/>
          <w:szCs w:val="22"/>
        </w:rPr>
        <w:t xml:space="preserve">2</w:t>
      </w:r>
      <w:r>
        <w:rPr>
          <w:rFonts w:ascii="Arial" w:cs="Arial" w:eastAsia="Arial" w:hAnsi="Arial"/>
          <w:sz w:val="22"/>
          <w:szCs w:val="22"/>
        </w:rPr>
        <w:t xml:space="preserve"> + ... + Ч</w:t>
      </w: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 ЧЧ - количество отработанных человеко-часов;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Ч</w:t>
      </w: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 - количество часов, отработанных n-ым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отработанные человеко-часы не включается: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нахождения работников в ежегодных, дополнительных, учебных отпусках, отпусках по инициативе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повышения квалификации работников с отрывом от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внутрисменного простоя;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часы перерывов в работе матерей для кормления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часы сокращения продолжительности работы отдельных категорий работников, которым в соответствии с законодательством установлена сокращенная продолжительность рабочего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время участия в забастовках;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случаи отсутствия работников на работе независимо от того сохранялась за ними заработная плата или нет.".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В ячейке 303 указывается количество работников, принятых на работу по совместительству из других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В ячейке 304 указывается количество работников, требующихся в организации, при условии обеспечения их полной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В ячейке 305 указывается численность работников, которые приняты или могут быть приняты на вновь образованные в отчетном периоде рабочие места в результате расширения, реорганизации производства, увеличения сменности работы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В ячейке 306 указывается количество ликвидированных рабочих мест в отчетном периоде в результате закрытия предприятия, подлежащих ликвидации, остановки производства в связи сокращением объемов.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ячейке 307 указывается численность принятых работников, зачисленных в отчетном периоде в данную организацию приказом (распоряжением) о приеме на работу.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В ячейке 308 указывается количество работников, высвобожденных в связи с сокращением штата.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В ячейке 309 указывается количество работников, выбывших из организации по инициативе самого работника, а также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избрание на должности, замещаемые по конкурсу;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переезд в другую местность; перевод супруга в другую местность, за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болезнь или инвалидность, препятствующие продолжению работы или проживанию в данной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зачисление в образовательное учреждение, аспирантуру или клиническую ординатуру;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увольнение по собственному желанию с наступлением пенсионного возраста или получающих пенсию по возрасту;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необходимость ухода за больными членами семьи или инвалидами 1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соглашение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увольнение по собственному желанию беременных женщин, женщин, имеющих детей в возрасте до 14 лет, одиноких матерей;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при наличии у них ребенка в возрасте до 14 лет или ребенка-инвалида до 16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В ячейке 310 указывается количество работников, выбывших по другим причинам независимо от оснований (расторжение трудового договора по инициативе работника, инициативе администрации, соглашению сторон; призыв или поступление на военную службу; перевод работника с его согласия в другую организацию или переход на выборную должность и др.), уход или перевод которых оформлен приказом (распоряжением), а также выбывшие в связи со смертью.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В ячейке 311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выплаты по сдельным расценкам, тарифным ставкам, должностным окладам;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выплаты компенсирующего характера, связанные с режимом работы и условиями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надбавки и доплаты к тарифным ставкам и должностным окладам;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премии и вознаграждения, носящие регулярный или периодический характер;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другие виды оплаты труда (оплата услуг работников бухгалтерий за выполнение работы по перечислению страховых взносов из заработной платы; оплата труда совместителей, принятых из других предприятий и работников, не состоящих в штате предприятия, за выполнение разовых работ).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В ячейке 312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оплата ежегодных и дополнительных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оплата учебных отпусков; оплата простоев не по вине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суммы, выплаченные работникам, находящимся в отпусках по инициативе администрации, с частичным сохранением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выходное пособие в случае прекращения трудового договора по инициативе администрации из-за не соответствия выполняемой работы, в связи с призывом на военную службу и другими обстоятельствами, не зависящими от воли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оплата дней невыхода на работу по болезни за счет средств предприятия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В ячейке 313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единовременные премии, независимо от источников их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вознаграждения по итогам работы за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материальная помощь, предоставленная всем или большинству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дополнительные выплаты при предоставлении ежегодного отпуска; денежная компенсация за неиспользованный отпуск;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стоимость бесплатно выдаваемых работникам в качестве поощрения акций или льгот по их приобретению.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В ячейке 314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стоимость бесплатно предоставленных работникам отдельных отраслей экономики продуктов, питания, жилья и коммунальных услуг (в соответствии с действующим законодательством);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оплата (полная или частичная) стоимости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средства на возмещение расходов работников по оплате жилья, квартирной платы или места в общежитии;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стоимость бесплатного предоставленного работникам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стоимость льгот по проезду работников железнодорожного, авиационного, автомобильного транспорта, городского электротранспорта, оплата стоимости проезда к месту работы транспортом общего пользования, специальными маршрутами, ведомственным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стоимость выданных бесплатно форменной одежды, обмундирования, остающихся в личном постоянном пользовании или сумма льгот в связи с их продажей по пониженным ценам.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 Порядок заполнения информации по выплатам, не включаемым в заработную плату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В ячейке 401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стоимость жилья, переданного в собственность работникам;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суммы, уплаченные за работников предприятием в порядке погашения заемных денежных средств, выданных работникам на жилищное строительство, приобретение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безвозмездные субсидии, предоставленные работникам на жилищное строительство или приобретение жилья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В ячейке 402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страховые платежи (взносы) по государственному социальному страхованию;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страховые платежи (взносы), уплачиваемые предприятием по договорам личного, имущественного и иного страхования в пользу своих работников, кроме обязательного государственного личного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выходное пособие при прекращении трудового договора вследствие ликвидации предприятия (юридического лица), сокращения численности или штата работников, в том числе в связи с реорганизацией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суммы, выплаченные уволенным работникам на период трудоустройства в связи с ликвидацией или реорганизацией предприятия, осуществлением мероприятий по сокращению численности или штата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единовременные пособия (выплаты, вознаграждения) при выходе на пенсию ветеранам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надбавки к пенсиям работающим пенсионерам, выплаченные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взносы, уплачиваемые предприятием по договорам добровольного медицинского страхования работников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8) суммы, выплаченные за счет средств предприятия, в возмещение вреда, причиненного работникам увечьем, профессиональным заболеванием, либо иным повреждением здоровья, связанным с исполнением ими трудовых обязанностей, а также иждивенцам погибших;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9) компенсация работникам морального вреда, определяемого судом;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10) материальная помощь, предоставленная отдельным работникам по семейным обстоятельствам, на погребение и т.п.;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11) выплаты неработающим пенсионерам.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В ячейке 403 указываются начисления, которые делает предприятие (работодатель) в пользу нанятых работников. Отчисления работников на социальное страхование в этот показатель не входят.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В ячейке 404 указывается сумма выходного пособия при высвобождении, материальной помощи в случае определенных событий, выплат неработающим пенсионерам, на погребение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В ячейке 405 указывается сумма пособий в связи с производственной травмой, компенсаций работникам морального вреда.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В ячейке 406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расходы на платное обучение работников в учебных заведениях;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стипендии работникам, состоящим в списочном составе и направленным предприятием на обучение в учебные заведения, выплачиваемые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компенсации педагогическим работникам образовательных учреждений за приобретение книг, учебников и другой издательской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расходы на организацию учебного процесса (учебный материал, аренда помещения, расходы по содержанию учебных зданий и помещений, находящихся на балансе предприятия, текущий ремонт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В ячейке 407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расходы по оплате услуг поликлиник по договорам, заключенным с органами здравоохранения на предоставление своим работникам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оплата за содержание детей в дошкольных учреждениях за счет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оплата абонементов в группы здоровья, занятий в спортивных секциях;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расходы на содержание жилья, учебных и дошкольных учреждений, медпунктов, профилакториев, столовых, домов отдыха, библиотек, спортивных сооружений и т.п., принадлежащих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расходы на проведение культурно-массовых, физкультурных и спортивных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6) расходы на приобретение медикаментов для лечебно-профилактических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7) расходы по организации кружков, курсов, студий, клубов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В ячейке 408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стоимость выданной спецодежды, спецобуви и других средств индивидуальной защиты, мыла и других моющих средств, молока и лечебно-профилактического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командировочные расходы за время служебных командировок (включая суточные);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расходы при переводе работников на работу в другие местности; представительские расходы;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расходы по оформлению служебных заграничных паспортов и получения виз;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5) расходы на погашение ссуд, выданных работникам предприятий; компенсация работнику материальных затрат за использование личного автомобиля в служебных целях.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В ячейке 409 указывается сумма суточных расходов из общей суммы прочих расходов, указанных в ячейке 408.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В ячейке 410 указывается сумма доходов по акциям и другим доходам от участия работников в собственности предприятия (дивиденды, проценты, выплаты по долевым паям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 Порядок заполнения приложения к отчету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В графе 1 указывается порядковый номер.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В графе 2 указывается идентификационный номер налогоплательщика (ИНН) работника.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В графе 3 указываются фамилия, имя, отчество работника.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В графе 4 указывается категория работника по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8"/>
        <w:gridCol w:w="1677"/>
        <w:gridCol w:w="7332"/>
      </w:tblGrid>
      <w:tr>
        <w:tc>
          <w:tcPr>
            <w:tcW w:type="dxa" w:w="11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7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категории работников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 по трудовым договорам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001-64/69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 до 64/69 г.р.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гражданин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020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Трудовые мигранты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Инвалид 1-2 группы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Участник/инвалид ВОВ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приравненные к участникам ВОВ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 (64/69 г.р.)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 МОП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 по совместительству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Инвалид 1-2 группы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201-64/69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Основной работник до 64/69 г.р.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Лица, приравненные к участникам ВОВ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Арендодатель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Гонорары, вознаграждения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206-64/69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МОП (64/69 г.р.)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207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Пенсионер МОП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Иностранный гражданин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220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Трудовые мигранты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Категории работников без трудовых отношений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частный предприниматель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арендодатель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гонорары, вознаграждения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Сделки по купле продаже для налоговых агентов</w:t>
            </w:r>
          </w:p>
        </w:tc>
      </w:tr>
      <w:tr>
        <w:tc>
          <w:tcPr>
            <w:tcW w:type="dxa" w:w="1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7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В графе 5 указывается цифровой код страны гражданства работника </w:t>
      </w:r>
      <w:r>
        <w:rPr>
          <w:rFonts w:ascii="Arial" w:cs="Arial" w:eastAsia="Arial" w:hAnsi="Arial"/>
          <w:sz w:val="22"/>
          <w:szCs w:val="22"/>
        </w:rPr>
        <w:t xml:space="preserve">согласно Межгосударственному классификатору стран мира.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В графе 6 указывается код резидентства работника по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692"/>
        <w:gridCol w:w="9083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9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01</w:t>
            </w:r>
          </w:p>
        </w:tc>
        <w:tc>
          <w:tcPr>
            <w:tcW w:type="dxa" w:w="9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Физическое лицо, являющееся гражданином Кыргызской Республики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02</w:t>
            </w:r>
          </w:p>
        </w:tc>
        <w:tc>
          <w:tcPr>
            <w:tcW w:type="dxa" w:w="9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Физическое лицо-резидент, не являющееся гражданином Кыргызской Республики, имеющее вид на жительство в Кыргызской Республике или статус кайрылмана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03</w:t>
            </w:r>
          </w:p>
        </w:tc>
        <w:tc>
          <w:tcPr>
            <w:tcW w:type="dxa" w:w="9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Физическое лицо-нерезидент, не являющееся гражданином Кыргызской Республики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В графе 7 указывается дата начала</w:t>
      </w:r>
      <w:r>
        <w:rPr>
          <w:rFonts w:ascii="Arial" w:cs="Arial" w:eastAsia="Arial" w:hAnsi="Arial"/>
          <w:sz w:val="22"/>
          <w:szCs w:val="22"/>
        </w:rPr>
        <w:t xml:space="preserve"> работы работника в формате ДД.ММ.ГГГГ.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 приеме на работу работника 15.01.2020, дата начала работы указывается как 15.01.2020.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В графе 8 указывается дата окончания работы работника в формате ДД.ММ.ГГГГ.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При увольнении работника 25.01.2020, дата окончания работы указывается как 25.01.2020.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В графе 9 указывается количество фактически отработанных дней работником.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нахождении работника в неоплачиваемом отпуске при наличии в этом отчетном периоде фактически отработанных дней, в которые осуществляется начисление заработной платы и иных доходов, указывается полный период -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нахождении работника в оплачиваемом отпуске, указывается полный период - календарный месяц.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отсутствии работника по причине временной нетрудоспособности указывается период - полный календарный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72. В графе 10 указывается код дохода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11"/>
        <w:gridCol w:w="8867"/>
      </w:tblGrid>
      <w:tr>
        <w:tc>
          <w:tcPr>
            <w:tcW w:type="dxa" w:w="13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 дохода</w:t>
            </w:r>
          </w:p>
        </w:tc>
        <w:tc>
          <w:tcPr>
            <w:tcW w:type="dxa" w:w="88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выплаченных доходов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001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 от работы по найму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002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Вознаграждение по договорам гражданско-правого характера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003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Дивиденды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004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Роялти, в том числе по доходам от использования и (или) предоставления права использования объектов интеллектуальной собственности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005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от операций с ценными бумагами (от отчуждения ценных бумаг)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006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от отчуждения долей в уставном капитале юридического лица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007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от отчуждения недвижимого имущества</w:t>
            </w:r>
          </w:p>
        </w:tc>
      </w:tr>
      <w:tr>
        <w:tc>
          <w:tcPr>
            <w:tcW w:type="dxa" w:w="13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008</w:t>
            </w:r>
          </w:p>
        </w:tc>
        <w:tc>
          <w:tcPr>
            <w:tcW w:type="dxa" w:w="88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Иные доходы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73. В графе 11 указывается сумма начисленного дохода работнику для исчисления подоходного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74. В графе 12 указывается фактический доход, на который начисляются страховые взносы.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 нулевое значение ФОТ в отчетном месяце допускается для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находящихся в оплачиваемом отпуске;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отсутствующих по временной нетрудоспособности в отчетном месяце.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75. В графе 13 указываются доходы физических лиц, не подлежащих обложению подоходным налогом за отчетный период, предусмотренные </w:t>
      </w:r>
      <w:r>
        <w:rPr>
          <w:rFonts w:ascii="Arial" w:cs="Arial" w:eastAsia="Arial" w:hAnsi="Arial"/>
          <w:sz w:val="22"/>
          <w:szCs w:val="22"/>
        </w:rPr>
        <w:t xml:space="preserve">статьей 167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76. В графе 14 указывается общая сумма стандартных вычетов, произведенных с доходов физических лиц, согласно </w:t>
      </w:r>
      <w:r>
        <w:rPr>
          <w:rFonts w:ascii="Arial" w:cs="Arial" w:eastAsia="Arial" w:hAnsi="Arial"/>
          <w:sz w:val="22"/>
          <w:szCs w:val="22"/>
        </w:rPr>
        <w:t xml:space="preserve">статье 170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77. В графе 15 указывается общая сумма доходов, подлежащих обложению подоходным налогом.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78. В графе 16 указывается общая сумма удержанного подоходного налога с доходов физических лиц налоговым агентом.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79. В графе 17 указывается общая сумма подоходного налога, подлежащего перечислению за счет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80. В графе 18 указывается общая сумма удержанного подоходного налога, которая равна соответственно сумме граф 16 и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81. В графе 19 указывается сумма начисленных страховых взносов в Пенсионный фонд, Фонд обязательного медицинского страхования, Фонд оздоровления трудящихся (ПФ, ФОМС, ФОТ).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82. В графе 20 указывается сумма начисленных взносов по Государственному накопительному пенси</w:t>
      </w:r>
      <w:r>
        <w:rPr>
          <w:rFonts w:ascii="Arial" w:cs="Arial" w:eastAsia="Arial" w:hAnsi="Arial"/>
          <w:sz w:val="20"/>
          <w:szCs w:val="20"/>
        </w:rPr>
        <w:t xml:space="preserve">онному фонду Кыргызской Республики (ГНПФ КР).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0-npmfzd6hklywosmmaz" Type="http://schemas.openxmlformats.org/officeDocument/2006/relationships/hyperlink" Target="http://kodeks.duckdns.org/document/158988" TargetMode="External"/><Relationship Id="rIdkb2tmk1v_vxvnoivix7pd" Type="http://schemas.openxmlformats.org/officeDocument/2006/relationships/hyperlink" Target="http://kodeks.duckdns.org/document/202445#st_85" TargetMode="External"/><Relationship Id="rIdlttukedudlmrqvv_4ms9j" Type="http://schemas.openxmlformats.org/officeDocument/2006/relationships/hyperlink" Target="http://kodeks.duckdns.org/document/202445#st_86" TargetMode="External"/><Relationship Id="rIdm2t9zymeav0mjvh32frpb" Type="http://schemas.openxmlformats.org/officeDocument/2006/relationships/hyperlink" Target="http://kodeks.duckdns.org/document/627#st_24" TargetMode="External"/><Relationship Id="rId9meqhnjiz9lthojxn32-d" Type="http://schemas.openxmlformats.org/officeDocument/2006/relationships/hyperlink" Target="http://kodeks.duckdns.org/document/203685#st_10" TargetMode="External"/><Relationship Id="rIdnvvlsu9wwngiyscn90syp" Type="http://schemas.openxmlformats.org/officeDocument/2006/relationships/hyperlink" Target="http://kodeks.duckdns.org/document/203685#st_17" TargetMode="External"/><Relationship Id="rId8-0d-knfr3szim07wg2_e" Type="http://schemas.openxmlformats.org/officeDocument/2006/relationships/hyperlink" Target="http://kodeks.duckdns.org/document/158066#pr1" TargetMode="External"/><Relationship Id="rIdy66i-r83mrjxuwrz04irr" Type="http://schemas.openxmlformats.org/officeDocument/2006/relationships/hyperlink" Target="http://kodeks.duckdns.org/document/158066#pr2" TargetMode="External"/><Relationship Id="rIdvf86yhz7e1q2m9qbci_q8" Type="http://schemas.openxmlformats.org/officeDocument/2006/relationships/hyperlink" Target="http://kodeks.duckdns.org/document/92501" TargetMode="External"/><Relationship Id="rIdym5bbce-ewfrjum6qfvar" Type="http://schemas.openxmlformats.org/officeDocument/2006/relationships/hyperlink" Target="http://kodeks.duckdns.org/document/92501#pr33" TargetMode="External"/><Relationship Id="rIdzzxbqvxkmjdlbowsijjah" Type="http://schemas.openxmlformats.org/officeDocument/2006/relationships/hyperlink" Target="http://kodeks.duckdns.org/document/92501" TargetMode="External"/><Relationship Id="rIdvf6w7jmtmbqvu8pi4dx2q" Type="http://schemas.openxmlformats.org/officeDocument/2006/relationships/hyperlink" Target="http://kodeks.duckdns.org/document/92501#pr35" TargetMode="External"/><Relationship Id="rIdumpfc85l1zp85hrwphuie" Type="http://schemas.openxmlformats.org/officeDocument/2006/relationships/hyperlink" Target="http://kodeks.duckdns.org/document/92501" TargetMode="External"/><Relationship Id="rIdzpmjki85ptm_h-_ucjk8_" Type="http://schemas.openxmlformats.org/officeDocument/2006/relationships/hyperlink" Target="http://kodeks.duckdns.org/document/99060" TargetMode="External"/><Relationship Id="rIdkuzivrns061ornsipxqyz" Type="http://schemas.openxmlformats.org/officeDocument/2006/relationships/hyperlink" Target="http://kodeks.duckdns.org/document/99060#pr8" TargetMode="External"/><Relationship Id="rIdpjurnbslh5orvvbx0lhvh" Type="http://schemas.openxmlformats.org/officeDocument/2006/relationships/hyperlink" Target="http://kodeks.duckdns.org/document/99060" TargetMode="External"/><Relationship Id="rIdxkurp5t3mifjnvrq0vbg1" Type="http://schemas.openxmlformats.org/officeDocument/2006/relationships/hyperlink" Target="http://kodeks.duckdns.org/document/157782" TargetMode="External"/><Relationship Id="rIdxxyjmvuawobj2zk7etfhx" Type="http://schemas.openxmlformats.org/officeDocument/2006/relationships/hyperlink" Target="http://kodeks.duckdns.org/document/157783" TargetMode="External"/><Relationship Id="rIdddgvcjm-w8stmux22muh7" Type="http://schemas.openxmlformats.org/officeDocument/2006/relationships/hyperlink" Target="http://kodeks.duckdns.org/document/157783" TargetMode="External"/><Relationship Id="rIdwkkvstvqco_zmpqkk6yqa" Type="http://schemas.openxmlformats.org/officeDocument/2006/relationships/hyperlink" Target="http://kodeks.duckdns.org/document/157782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2026-09-23T10:00:45.298Z</dcterms:created>
  <dcterms:modified xsi:type="dcterms:W3CDTF">2026-09-23T10:00:45.298Z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