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24 марта 2021 года № 113 </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 от 12 апреля 2011 года № 155</w:t>
      </w:r>
    </w:p>
    <w:p>
      <w:pPr>
        <w:spacing w:after="120"/>
        <w:jc w:val="both"/>
      </w:pPr>
      <w:r>
        <w:rPr>
          <w:rFonts w:ascii="Arial" w:cs="Arial" w:eastAsia="Arial" w:hAnsi="Arial"/>
          <w:sz w:val="24"/>
          <w:szCs w:val="24"/>
        </w:rPr>
        <w:t xml:space="preserve">В целях оптимизации порядка реализации вступивших в установленном законом порядке в силу международных договоров, участницей которых является Кыргызская Республика, в части освобождения от уплаты налогов, пошлин и иных платежей, в соответствии со статьями </w:t>
      </w:r>
      <w:hyperlink w:history="1" r:id="rIdquqt_-bzlascadvbfcs20">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v0bhbxy8scacsbvhnumg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wwcfwa1rf2juzwdkeak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rs97pu1n920kkmzad0z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 от 12 апреля 2011 года № 155 следующие изменения:</w:t>
      </w:r>
    </w:p>
    <w:p>
      <w:pPr>
        <w:spacing w:after="120"/>
        <w:jc w:val="both"/>
      </w:pPr>
      <w:r>
        <w:rPr>
          <w:rFonts w:ascii="Arial" w:cs="Arial" w:eastAsia="Arial" w:hAnsi="Arial"/>
          <w:sz w:val="24"/>
          <w:szCs w:val="24"/>
        </w:rPr>
        <w:t xml:space="preserve">1) преамбулу изложить в следующей редакции:</w:t>
      </w:r>
    </w:p>
    <w:p>
      <w:pPr>
        <w:spacing w:after="120"/>
        <w:jc w:val="both"/>
      </w:pPr>
      <w:r>
        <w:rPr>
          <w:rFonts w:ascii="Arial" w:cs="Arial" w:eastAsia="Arial" w:hAnsi="Arial"/>
          <w:sz w:val="24"/>
          <w:szCs w:val="24"/>
        </w:rPr>
        <w:t xml:space="preserve">"В целях реализации вступивших в установленном законом порядке в силу международных договоров, участницей которых является Кыргызская Республика, в соответствии со статьями </w:t>
      </w:r>
      <w:hyperlink w:history="1" r:id="rIdxrdhpxpvgyz4cdvkj-e4m">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ac7kwi8syyig65vqq2pa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2) в </w:t>
      </w:r>
      <w:hyperlink w:history="1" r:id="rIdtqfhmsgvaa3ak1vqlxsi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 утвержденном вышеуказанным </w:t>
      </w:r>
      <w:hyperlink w:history="1" r:id="rIduy-shw93gwmo__hfxfj2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"и предусматривающих освобождение от уплаты налогов, пошлин и иных платежей" заменить словами ", заключенных в целях осуществления деятельности международных организаций и реализации проектов, в части регулирования налоговых и таможенных правоотношений по уплате налогов, пошлин и иных платежей, установленных налоговым и таможенным законодательством Кыргызской Республики и таможенным законодательством Евразийского экономического союза";</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после слов "распространяется на организации," дополнить словами "осуществляющие поставку/импорт товаров, выполнение работ или оказание услуг в рамках проекта,";</w:t>
      </w:r>
    </w:p>
    <w:p>
      <w:pPr>
        <w:spacing w:after="120"/>
        <w:jc w:val="both"/>
      </w:pPr>
      <w:r>
        <w:rPr>
          <w:rFonts w:ascii="Arial" w:cs="Arial" w:eastAsia="Arial" w:hAnsi="Arial"/>
          <w:sz w:val="24"/>
          <w:szCs w:val="24"/>
        </w:rPr>
        <w:t xml:space="preserve">после слов "на отделы реализации проектов," дополнить словами "осуществляющих деятельность";</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Настоящее Положение не распространяется на подоходный налог, налог на прибыль и налог на доходы нерезидентов, страховые отчисления, которые установлены Налоговым </w:t>
      </w:r>
      <w:hyperlink w:history="1" r:id="rIdetk6ikhyj5co2bueu8sj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в сфере социальных страховых взносов.";</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подпункт 2 изложить в следующей редакции:</w:t>
      </w:r>
    </w:p>
    <w:p>
      <w:pPr>
        <w:spacing w:after="120"/>
        <w:jc w:val="both"/>
      </w:pPr>
      <w:r>
        <w:rPr>
          <w:rFonts w:ascii="Arial" w:cs="Arial" w:eastAsia="Arial" w:hAnsi="Arial"/>
          <w:sz w:val="24"/>
          <w:szCs w:val="24"/>
        </w:rPr>
        <w:t xml:space="preserve">"2) товары, импортируемые за счет грантовых средств, освобождаются от уплаты НДС, акцизного налога, таможенных пошлин, таможенных сборов за совершение таможенных операций, при наличии внешнеэкономической сделки от имени организации, отдела реализации проекта, генерального подрядчика;";</w:t>
      </w:r>
    </w:p>
    <w:p>
      <w:pPr>
        <w:spacing w:after="120"/>
        <w:jc w:val="both"/>
      </w:pPr>
      <w:r>
        <w:rPr>
          <w:rFonts w:ascii="Arial" w:cs="Arial" w:eastAsia="Arial" w:hAnsi="Arial"/>
          <w:sz w:val="24"/>
          <w:szCs w:val="24"/>
        </w:rPr>
        <w:t xml:space="preserve">дополнить подпунктом 3 следующего содержания:</w:t>
      </w:r>
    </w:p>
    <w:p>
      <w:pPr>
        <w:spacing w:after="120"/>
        <w:jc w:val="both"/>
      </w:pPr>
      <w:r>
        <w:rPr>
          <w:rFonts w:ascii="Arial" w:cs="Arial" w:eastAsia="Arial" w:hAnsi="Arial"/>
          <w:sz w:val="24"/>
          <w:szCs w:val="24"/>
        </w:rPr>
        <w:t xml:space="preserve">"3) товары, импортируемые за счет кредитных средств, освобождаются от уплаты НДС, акцизного налога, таможенных сборов за совершение таможенных операций, а также таможенных пошлин в случаях, установленных правом Евразийского экономического союза, при наличии внешнеэкономической сделки от имени организации, отдела реализации проекта, генерального подрядчика.";</w:t>
      </w:r>
    </w:p>
    <w:p>
      <w:pPr>
        <w:spacing w:after="120"/>
        <w:jc w:val="both"/>
      </w:pPr>
      <w:r>
        <w:rPr>
          <w:rFonts w:ascii="Arial" w:cs="Arial" w:eastAsia="Arial" w:hAnsi="Arial"/>
          <w:sz w:val="24"/>
          <w:szCs w:val="24"/>
        </w:rPr>
        <w:t xml:space="preserve">- дополнить пунктом 5-1 следующего содержания:</w:t>
      </w:r>
    </w:p>
    <w:p>
      <w:pPr>
        <w:spacing w:after="120"/>
        <w:jc w:val="both"/>
      </w:pPr>
      <w:r>
        <w:rPr>
          <w:rFonts w:ascii="Arial" w:cs="Arial" w:eastAsia="Arial" w:hAnsi="Arial"/>
          <w:sz w:val="24"/>
          <w:szCs w:val="24"/>
        </w:rPr>
        <w:t xml:space="preserve">"5-1. Освобождение от уплаты ввозной таможенной пошлины предоставляется с учетом таможенного законодательства Кыргызской Республики, актов, составляющих право Евразийского экономического союза,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подпункты 1 и 2 пункта 6 изложить в следующей редакции:</w:t>
      </w:r>
    </w:p>
    <w:p>
      <w:pPr>
        <w:spacing w:after="120"/>
        <w:jc w:val="both"/>
      </w:pPr>
      <w:r>
        <w:rPr>
          <w:rFonts w:ascii="Arial" w:cs="Arial" w:eastAsia="Arial" w:hAnsi="Arial"/>
          <w:sz w:val="24"/>
          <w:szCs w:val="24"/>
        </w:rPr>
        <w:t xml:space="preserve">"1) суммы налогов, пошлин и иных платежей предусматриваются в расходной части бюджета и уплачиваются из средств бюджета, включая случаи продления срока реализации проекта, когда уполномоченный государственный орган в сфере финансов подтвердил возможность софинансирования проекта;</w:t>
      </w:r>
    </w:p>
    <w:p>
      <w:pPr>
        <w:spacing w:after="120"/>
        <w:jc w:val="both"/>
      </w:pPr>
      <w:r>
        <w:rPr>
          <w:rFonts w:ascii="Arial" w:cs="Arial" w:eastAsia="Arial" w:hAnsi="Arial"/>
          <w:sz w:val="24"/>
          <w:szCs w:val="24"/>
        </w:rPr>
        <w:t xml:space="preserve">2) в случаях, когда средства в расходной части бюджета не предусмотрены, налогообложение производится в соответствии с подпунктами 1-3 пункта 5 настоящего Положения.";</w:t>
      </w:r>
    </w:p>
    <w:p>
      <w:pPr>
        <w:spacing w:after="120"/>
        <w:jc w:val="both"/>
      </w:pPr>
      <w:r>
        <w:rPr>
          <w:rFonts w:ascii="Arial" w:cs="Arial" w:eastAsia="Arial" w:hAnsi="Arial"/>
          <w:sz w:val="24"/>
          <w:szCs w:val="24"/>
        </w:rPr>
        <w:t xml:space="preserve">- пункты 9 и 10 изложить в следующей редакции:</w:t>
      </w:r>
    </w:p>
    <w:p>
      <w:pPr>
        <w:spacing w:after="120"/>
        <w:jc w:val="both"/>
      </w:pPr>
      <w:r>
        <w:rPr>
          <w:rFonts w:ascii="Arial" w:cs="Arial" w:eastAsia="Arial" w:hAnsi="Arial"/>
          <w:sz w:val="24"/>
          <w:szCs w:val="24"/>
        </w:rPr>
        <w:t xml:space="preserve">"9. Государственные органы, ответственные за реализацию проектов, ежегодно до 20 декабря должны представлять в уполномоченный государственный орган по проведению налоговой и таможенной политики:</w:t>
      </w:r>
    </w:p>
    <w:p>
      <w:pPr>
        <w:spacing w:after="120"/>
        <w:jc w:val="both"/>
      </w:pPr>
      <w:r>
        <w:rPr>
          <w:rFonts w:ascii="Arial" w:cs="Arial" w:eastAsia="Arial" w:hAnsi="Arial"/>
          <w:sz w:val="24"/>
          <w:szCs w:val="24"/>
        </w:rPr>
        <w:t xml:space="preserve">1) списки юридических лиц, участвующих в реализации проектов (генеральные подрядчики, выигравшие тендер, субподрядчики, в том числе заявленные объемы товаров, работ и услуг), а также информацию о сроках действия проекта, которые в последующем должны направляться в налоговые и таможенные органы;</w:t>
      </w:r>
    </w:p>
    <w:p>
      <w:pPr>
        <w:spacing w:after="120"/>
        <w:jc w:val="both"/>
      </w:pPr>
      <w:r>
        <w:rPr>
          <w:rFonts w:ascii="Arial" w:cs="Arial" w:eastAsia="Arial" w:hAnsi="Arial"/>
          <w:sz w:val="24"/>
          <w:szCs w:val="24"/>
        </w:rPr>
        <w:t xml:space="preserve">2) копии международных договоров и иных соглашений;</w:t>
      </w:r>
    </w:p>
    <w:p>
      <w:pPr>
        <w:spacing w:after="120"/>
        <w:jc w:val="both"/>
      </w:pPr>
      <w:r>
        <w:rPr>
          <w:rFonts w:ascii="Arial" w:cs="Arial" w:eastAsia="Arial" w:hAnsi="Arial"/>
          <w:sz w:val="24"/>
          <w:szCs w:val="24"/>
        </w:rPr>
        <w:t xml:space="preserve">3) копии нормативных правовых актов Кыргызской Республики, подтверждающих действие международных договоров и иных соглашений;</w:t>
      </w:r>
    </w:p>
    <w:p>
      <w:pPr>
        <w:spacing w:after="120"/>
        <w:jc w:val="both"/>
      </w:pPr>
      <w:r>
        <w:rPr>
          <w:rFonts w:ascii="Arial" w:cs="Arial" w:eastAsia="Arial" w:hAnsi="Arial"/>
          <w:sz w:val="24"/>
          <w:szCs w:val="24"/>
        </w:rPr>
        <w:t xml:space="preserve">4) копии коммерческих документов (контракты, заключенные между государственным органом, ответственным за реализацию проектов и юридическими лицами, участвующими в реализации проектов или осуществляющими их реализацию, дополнения и приложения к таким контрактам).</w:t>
      </w:r>
    </w:p>
    <w:p>
      <w:pPr>
        <w:spacing w:after="120"/>
        <w:jc w:val="both"/>
      </w:pPr>
      <w:r>
        <w:rPr>
          <w:rFonts w:ascii="Arial" w:cs="Arial" w:eastAsia="Arial" w:hAnsi="Arial"/>
          <w:sz w:val="24"/>
          <w:szCs w:val="24"/>
        </w:rPr>
        <w:t xml:space="preserve">Государственные органы, ответственные за реализацию проектов, в течение десяти рабочих дней информируют уполномоченный государственный орган по проведению налоговой и таможенной политики о завершении проекта.</w:t>
      </w:r>
    </w:p>
    <w:p>
      <w:pPr>
        <w:spacing w:after="120"/>
        <w:jc w:val="both"/>
      </w:pPr>
      <w:r>
        <w:rPr>
          <w:rFonts w:ascii="Arial" w:cs="Arial" w:eastAsia="Arial" w:hAnsi="Arial"/>
          <w:sz w:val="24"/>
          <w:szCs w:val="24"/>
        </w:rPr>
        <w:t xml:space="preserve">10. Уполномоченный государственный орган по проведению налоговой и таможенной политики на основе предоставленной информации:</w:t>
      </w:r>
    </w:p>
    <w:p>
      <w:pPr>
        <w:spacing w:after="120"/>
        <w:jc w:val="both"/>
      </w:pPr>
      <w:r>
        <w:rPr>
          <w:rFonts w:ascii="Arial" w:cs="Arial" w:eastAsia="Arial" w:hAnsi="Arial"/>
          <w:sz w:val="24"/>
          <w:szCs w:val="24"/>
        </w:rPr>
        <w:t xml:space="preserve">1) формирует список проектов, финансируемых международными финансовыми организациями;</w:t>
      </w:r>
    </w:p>
    <w:p>
      <w:pPr>
        <w:spacing w:after="120"/>
        <w:jc w:val="both"/>
      </w:pPr>
      <w:r>
        <w:rPr>
          <w:rFonts w:ascii="Arial" w:cs="Arial" w:eastAsia="Arial" w:hAnsi="Arial"/>
          <w:sz w:val="24"/>
          <w:szCs w:val="24"/>
        </w:rPr>
        <w:t xml:space="preserve">2) направляет в налоговые, таможенные органы письма относительно порядка налогообложения проекта на весь срок реализации.</w:t>
      </w:r>
    </w:p>
    <w:p>
      <w:pPr>
        <w:spacing w:after="120"/>
        <w:jc w:val="both"/>
      </w:pPr>
      <w:r>
        <w:rPr>
          <w:rFonts w:ascii="Arial" w:cs="Arial" w:eastAsia="Arial" w:hAnsi="Arial"/>
          <w:sz w:val="24"/>
          <w:szCs w:val="24"/>
        </w:rPr>
        <w:t xml:space="preserve">Уполномоченный налоговый орган, уполномоченный таможенный орган в дальнейшем при администрировании налогов, пошлин и иных платежей в рамках реализации проекта руководствуются письмом уполномоченного государственного органа по проведению налоговой и таможенной политики.".</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 апреля 2021 года N 29-30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vo56u6plchdkzzmmh7">
      <w:r>
        <w:rPr>
          <w:rFonts w:ascii="Arial" w:cs="Arial" w:eastAsia="Arial" w:hAnsi="Arial"/>
          <w:color w:val="132D3F"/>
          <w:sz w:val="16"/>
          <w:szCs w:val="16"/>
          <w:u w:val="single"/>
        </w:rPr>
        <w:t xml:space="preserve">dalil.kg/document/158133</w:t>
      </w:r>
    </w:hyperlink>
  </w:p>
  <w:p>
    <w:pPr>
      <w:spacing w:after="0" w:before="40"/>
      <w:jc w:val="center"/>
    </w:pPr>
    <w:hyperlink w:history="1" r:id="rId79mpjgu6pnh1t7fll9x7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qt_-bzlascadvbfcs20" Type="http://schemas.openxmlformats.org/officeDocument/2006/relationships/hyperlink" Target="https://dalil.kg/document/203685#st_10" TargetMode="External"/><Relationship Id="rIdv0bhbxy8scacsbvhnumgh" Type="http://schemas.openxmlformats.org/officeDocument/2006/relationships/hyperlink" Target="https://dalil.kg/document/203685#st_17" TargetMode="External"/><Relationship Id="rIdwwcfwa1rf2juzwdkeak8i" Type="http://schemas.openxmlformats.org/officeDocument/2006/relationships/hyperlink" Target="https://dalil.kg/document/94087" TargetMode="External"/><Relationship Id="rIdbrs97pu1n920kkmzad0zw" Type="http://schemas.openxmlformats.org/officeDocument/2006/relationships/hyperlink" Target="https://dalil.kg/document/95007" TargetMode="External"/><Relationship Id="rIdxrdhpxpvgyz4cdvkj-e4m" Type="http://schemas.openxmlformats.org/officeDocument/2006/relationships/hyperlink" Target="https://dalil.kg/document/203685#st_10" TargetMode="External"/><Relationship Id="rIdac7kwi8syyig65vqq2pa8" Type="http://schemas.openxmlformats.org/officeDocument/2006/relationships/hyperlink" Target="https://dalil.kg/document/203685#st_17" TargetMode="External"/><Relationship Id="rIdtqfhmsgvaa3ak1vqlxsio" Type="http://schemas.openxmlformats.org/officeDocument/2006/relationships/hyperlink" Target="https://dalil.kg/document/95007" TargetMode="External"/><Relationship Id="rIduy-shw93gwmo__hfxfj2s" Type="http://schemas.openxmlformats.org/officeDocument/2006/relationships/hyperlink" Target="https://dalil.kg/document/94087" TargetMode="External"/><Relationship Id="rIdetk6ikhyj5co2bueu8sjz"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vo56u6plchdkzzmmh7" Type="http://schemas.openxmlformats.org/officeDocument/2006/relationships/hyperlink" Target="https://dalil.kg/document/158133" TargetMode="External"/><Relationship Id="rId79mpjgu6pnh1t7fll9x7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2026-09-24T06:41:08.326Z</dcterms:created>
  <dcterms:modified xsi:type="dcterms:W3CDTF">2026-09-24T06:41:08.326Z</dcterms:modified>
</cp:coreProperties>
</file>

<file path=docProps/custom.xml><?xml version="1.0" encoding="utf-8"?>
<Properties xmlns="http://schemas.openxmlformats.org/officeDocument/2006/custom-properties" xmlns:vt="http://schemas.openxmlformats.org/officeDocument/2006/docPropsVTypes"/>
</file>