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vy9lzysixj1g0vbiyq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0r99evz8ko9iv2uylj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izc1s4ixfwgrsixaygc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ymyxx0jwjy3oy3hi5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uxmtt6qqbcgwo8yv_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 (далее - Положение) разработано в целях оптимизации административных процедур по формированию информационной базы разрешительных и иных документов для осуществления внешнеэкономических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экономики и коммерции Кыргызской Республики является уполномоченным государственным органом по реализации единой политики по продвижению принципа "единого окна" в сфере внешней торговли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nnhvwu7ginge5jp0js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является правовой основой для координации деятельности, информационного и иного взаимодействия при оформлении и выдаче документов для осуществления внешнеэкономической деятельности по принципу "единого окна" между Государственным предприятием "Центр "единого окна" в сфере внешней торговли" при уполномоченном государственном органе и ведомствами и организациями, участвующими в процессе оформления и выдачи документов, необходимых для осуществления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информационного обмена между ведомствами, имеющими собственные информационные системы по оформлению и выдаче документов, необходимых для осуществления внешнеэкономической деятельности, а также порядок их работы в информационной системе "единого окна" определяются на основе отдельных соглашений о порядке взаимодействия при оформлении документов для осуществления внешнеэкономической деятельности по принципу "единого окна" между ведомствами и Государственным предприятием "Центр "единого окна" в сфере внешней торговли" при уполномоченном государственном органе, а также внутренних регламентов работы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межведомственное взаимодействие между информационной системой "единого окна" в сфере внешней торговли и информационными системами ведомств осуществляется посредством системы межведомственного электронного взаимодействия (далее - СМЭВ) "Тундук" в соответствии с Требованиями к взаимодействию информационных систем в системе межведомственного электронного взаимодействия "Тундук",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определяет, что доступ ведомств к информационной системе "единого окна" осуществляется по сети Интернет.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 и определения, используемые в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ГП ЦЕО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 "Центр "единого окна" в сфере внешней торговли" при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ИСЕО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 "единого окна" в сфере внешней торговли, представляющая собой комплекс программных, программно-аппаратных и аппаратных средств, методов и процедур, применяемых для составления, обработки, передачи, приема, хранения, проверки целостности электронных документов участниками взаимодействия в сфере внешнеэкономической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взаимодействия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независимо от организационно-правовой формы и формы собственности, ведомства, организации и ГП ЦЕО, действующие непосредственно от своего лица либо через своих представителей, осуществляющие взаимодействие в рамках внешнеэкономической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ВЭД</w:t>
      </w:r>
      <w:r>
        <w:rPr>
          <w:rFonts w:ascii="Arial" w:cs="Arial" w:eastAsia="Arial" w:hAnsi="Arial"/>
          <w:sz w:val="24"/>
          <w:szCs w:val="24"/>
        </w:rPr>
        <w:t xml:space="preserve"> - внешнеэкономическая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ведомства и организации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 организации, указанные в приложении к Положению, выдающие документы, необходимые для осуществления внешнеэкономической и иной деятельности, юридическим и физическим лицам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необходимые для осуществления внешнеэкономической и иной деятельности, выдаваемые ведомствами и организациями в рамках их компетенции, перечисленные в приложении к настоящему Положению, которые для целей настоящего Положения 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</w:t>
      </w:r>
      <w:hyperlink w:history="1" r:id="rId5z0mszs1uyphqvtrry4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(далее - "лицензионно-разрешительные документы");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порядок выдачи которых регулируется иными нормативными правовыми актами Кыргызской Республики в сфере выдачи разрешительных документов: ветеринарный сертификат, сертификат соответствия, декларация о соответствии, сертификат о происхождении товара, фитосанитарный сертификат, акт карантинного фитосанитарного контроля, свидетельство о государственной регистрации продукции, разрешение на ввоз или вывоз и справка, подтверждающая принадлежность продукции, свидетельство о безопасности конструкции транспортного средства, 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</w:t>
      </w:r>
      <w:r>
        <w:rPr>
          <w:rFonts w:ascii="Arial" w:cs="Arial" w:eastAsia="Arial" w:hAnsi="Arial"/>
          <w:sz w:val="24"/>
          <w:szCs w:val="24"/>
        </w:rPr>
        <w:t xml:space="preserve">нотификация о характеристиках шифровальных (криптографических) средств и товаров, их содержащих</w:t>
      </w:r>
      <w:r>
        <w:rPr>
          <w:rFonts w:ascii="Arial" w:cs="Arial" w:eastAsia="Arial" w:hAnsi="Arial"/>
          <w:sz w:val="24"/>
          <w:szCs w:val="24"/>
        </w:rPr>
        <w:t xml:space="preserve"> (далее - "иные документы");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документ</w:t>
      </w:r>
      <w:r>
        <w:rPr>
          <w:rFonts w:ascii="Arial" w:cs="Arial" w:eastAsia="Arial" w:hAnsi="Arial"/>
          <w:sz w:val="24"/>
          <w:szCs w:val="24"/>
        </w:rPr>
        <w:t xml:space="preserve"> – цифровая запись, неизменность которой обеспечивается с помощью цифровой подписи или идентификатора, используемых в соответствии с правилами системы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действующее непосредственно от своего имени либо через своего представителя, направляющее заявку на получение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 - документ на бумажном носителе либо в форме электронного документа, подаваемый заявителем для получения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сопроводительные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прилагаемые к заявке на получение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ИСЕО</w:t>
      </w:r>
      <w:r>
        <w:rPr>
          <w:rFonts w:ascii="Arial" w:cs="Arial" w:eastAsia="Arial" w:hAnsi="Arial"/>
          <w:sz w:val="24"/>
          <w:szCs w:val="24"/>
        </w:rPr>
        <w:t xml:space="preserve"> - уполномоченное участником взаимодействия лицо, зарегистрированное в ИСЕО;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запись</w:t>
      </w:r>
      <w:r>
        <w:rPr>
          <w:rFonts w:ascii="Arial" w:cs="Arial" w:eastAsia="Arial" w:hAnsi="Arial"/>
          <w:sz w:val="24"/>
          <w:szCs w:val="24"/>
        </w:rPr>
        <w:t xml:space="preserve"> - хранимая в ИСЕО совокупность данных о пользователе, необходимая для его опознавания и предоставления доступа к его личным данным и настройкам, которая позволяет осуществлять действия в ИСЕО в рамках компетенции пользователя. Учетная запись создается путем регистрации участника взаимодействия в ИСЕО, в том числе с использованием Единой системы идентификации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уведомлений</w:t>
      </w:r>
      <w:r>
        <w:rPr>
          <w:rFonts w:ascii="Arial" w:cs="Arial" w:eastAsia="Arial" w:hAnsi="Arial"/>
          <w:sz w:val="24"/>
          <w:szCs w:val="24"/>
        </w:rPr>
        <w:t xml:space="preserve"> - средства ИСЕО, посредством которых производится информирование пользователя ИСЕО: отправка СМС-сообщений, сообщений на электронную почту, получение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ИСЕО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внесение сопроводительных документов и оформление заявки в ИСЕО, которым может выступать уполномоченное участником взаимодействия лицо, зарегистрированное в ИСЕО;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подпись</w:t>
      </w:r>
      <w:r>
        <w:rPr>
          <w:rFonts w:ascii="Arial" w:cs="Arial" w:eastAsia="Arial" w:hAnsi="Arial"/>
          <w:sz w:val="24"/>
          <w:szCs w:val="24"/>
        </w:rPr>
        <w:t xml:space="preserve"> – информация в цифровой форме, которая присоединена к другой информации в цифровой форме и (или) логически связана с ней и используется для обеспечения неизменности цифрового документа и определения автора цифрового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- документ о взаимодействии государственных органов, иных организаций и участников внешнеэкономической деятельности при оформлении разрешительных документов для осуществления внешнеэкономической деятельности по принципу "единого окна", утверждаемый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типовой 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документ, описывающий порядок работы с электронными документами в рамках ИСЕО, разработанный и утвержденный уполномоченным государственным органом в целях оказания помощи ведомствам/организациям в разработке и создании регламента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основные положения, касающиеся работы и ответственности сотрудников ведомств/организаций в ИСЕО, утверждаемый ведомством/организацией на основании Типового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 "единого окна</w:t>
      </w:r>
      <w:r>
        <w:rPr>
          <w:rFonts w:ascii="Arial" w:cs="Arial" w:eastAsia="Arial" w:hAnsi="Arial"/>
          <w:sz w:val="24"/>
          <w:szCs w:val="24"/>
        </w:rPr>
        <w:t xml:space="preserve">" - это механизм, который позволяет участникам внешнеэкономической деятельности однократно представлять документы в стандартизированном виде через единый пропускной канал для последующего использования заинтересованными государственными органами и иными организациями в соответствии с их компетенцией при проведении контроля за осуществлением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образ бумажного документа (электронный образ)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ioi9ir4ptzngojyge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qfc5ocyqviniro6iw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марта 2026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Направление заявки и сопроводительных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может быть оформлена/направлена ведомству/организации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заявителем - в форме электронного документа, подписанного электронной подписью заявителя, через учетную запись в ИСЕО;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"оператором ИСЕО - в форме электронного документа, подписанного электронной подписью оператора ИСЕО, с прикреплением электронных образов сопроводительных документов, представленных заявителем на бумажном носителе. Представленные сопроводительные документы после оформления заявки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направления заявки на получение лицензионно-разрешительного документа осуществляется с учетом положений статей </w:t>
      </w:r>
      <w:hyperlink w:history="1" r:id="rIdtjfuscykohudortqz20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1efb-kz3eh-w5vwcwe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направлении заявки прилагаются сопроводительные документы. Перечень сопроводительных документов на получение разрешительных документов определяется в соответствии с законодательством Кыргызской Республики в области лицензионно-разрешительной системы и международными договорами, вступившими в силу в установленном законом порядке, участницей которых является Кыргызская Республика. Перечень необходимых сопроводительных документов доступен в ИСЕО при заполнении заявки. При наличии доступа из ИСЕО к электронным документам и сведениям других информационных систем посредством СМЭВ "Тундук", предоставление бумажных копий и их сканированных версий со стороны заявителя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Заявка считается поданной после ее подписания с помощью электронной подписи и автоматического присвоения заявке регистрационного номера в ИСЕО.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Рассмотрение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Ответственным исполнителем является сотрудник ведомства/организации, осуществляющий рассмотрение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и правовой статус ответственного исполнителя регламентируются в соответствии с инструкцией и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всех поступающих заявок производится в порядке очередности, в зависимости от даты и времени подачи заявки, за исключением случаев, предусмотренных законодательством в области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заявки на получение разрешительного документа, сотрудник ведомства/организации проверяет правильность заполнения заявки, наличие необходимых сопроводительных документов, определяемых ИСЕО, для выдачи документа для осуществления внешнеэкономической деятельности или основания отказа в регистрации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Заявитель представляет исчерпывающие данные по запросу ответственного исполнителя ведомства/организации в установленные регламентом ведомства/организации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Ведомство/организация в порядке, установленном регламентом, рассматривает заявки. При необходимости, ведомство/организация проводит согласование с другими государственными органами посредством ИСЕО.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заявки и прилагаемых к ней документов, ответственный исполнитель ведомства/организации оформляет разрешительный документ или отказ в его выдаче в форме электронного документа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формат документа для осуществления внешнеэкономической деятельности в форме электронного документа определяются уполномоченными органами по выдаче соответствующих документов для осуществления внешнеэкономической деятельности по согласованию с ГП ЦЕО, согласно нормам </w:t>
      </w:r>
      <w:hyperlink w:history="1" r:id="rIdngp7peek9zervx14c4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нормативным правовым актам, регулирующим вопросы выдачи соответствующих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Основания для отказа в регистрации заявки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оснований для отказа в регистрации заявки: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необходимых документов в соответствии с </w:t>
      </w:r>
      <w:hyperlink w:history="1" r:id="rIdpmufff7hh1zsyvedhb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иными нормативными правовыми актами, регулирующими вопросы выдачи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невнесение заявителем оплаты за подачу заявки и/или выдачу разрешительного документа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декабря 2023 года № 648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недостоверных сведений в представленных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 оснований для отказа в регистрации заявки должен быть исчерпывающим. Не допускается отказ в регистрации заявки по любым другим основаниям, в том числе из-за направления заявки в форме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Отказ в регистрации заявки по результатам предварительной проверки заполнения заявки и представленных заявителем документов производится в соответствии с пунктом 18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Обработка зарегистрированной заявки ведомством/организацией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Рассмотрение заявки ведомством/организацией в рамках ИСЕО производится согласно настоящему Положению, инструкции, регламенту, а также соглашению о порядке взаимодействия при оформлении разрешительных документов для осуществления внешнеэкономической деятельности по принципу "единого окна", заключаемому между ГП ЦЕО и ведомством/организацией.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Рассмотрение заявки на получение иного документа может быть приостановлено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экспертизы или лабораторных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направлении запроса в адрес заявителя о представлении дополнительной или недостающей информации, или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отсутствии оплаты за предоставление дополнительных услуг, включая лабораторные испытания. При этом, оплата за дополнительные услуги регламентируется соответствующими нормативными правовыми актами ведомств/организаций;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несоответствии продукции установленным требованиям, выявленном лабораторным испытанием.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Приостановление рассмотрения заявки на получение иного документа не препятствует рассмотрению других, позже поступивших заявок.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Выдача либо отказ в выдаче разрешительного документа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Выдача разрешительного документа либо отказ в его выдаче в ИСЕО производится в соответствии с инструкцией. Выдача либо отказ в выдаче лицензионно-разрешительного документа осуществляется с учетом положений статей </w:t>
      </w:r>
      <w:hyperlink w:history="1" r:id="rIdmjloetssjmnpdxk16n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j-o3oiddhgy3wne0n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Заявитель вправе обжаловать отказ в выдаче разрешительного документа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Осуществление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Лицензионный сбор за выдачу лицензионно-разрешительного документа осуществляется в соответствии с законодательством о неналоговых платежах.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Оплата за услуги ведомств/организаций и ГП ЦЕО осуществляется на основании утвержденных в установленном порядке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Заявитель производит оплату на основании выставленного счета на оплату ведомством/организацией и (или) ГП ЦЕО.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Заявитель вправе по своему усмотрению выбирать способ оплаты из перечня доступных способов оплаты, предусмотренных ИСЕО.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осуществления расчетов определяется в соответствии с инструкцией.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передачи справочной информации ведомствами/организациями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Ведомства/организации обязаны передавать ГП ЦЕО справочную информацию при любых изменениях. Перечень передаваемой справочной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услуг, оказываемых ведомством/организацией;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 и сведений, необходимых для оказания услуг и выдачи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расценки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организационная структура ведомства/организации, включая региональные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фамилии, имена, отчества руководителя и сотрудников ведомства/организации, принимающих участие в рассмотрении заявок, подготовке и выдаче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Справочная информация должна постоянно поддерживаться ведомством/организацией и (или) ГП ЦЕО в актуальном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Ответственность за своевременность и полноту передаваемой информации несут должностные лица ведомства/организации.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ЦЕО обеспечивает размещение справочной информации, полученной от ведомств/организаций, в ИСЕО и (или) на официальном веб-сайте ГП ЦЕО и несет ответственность за правильность размещенной справочной информации ведомств/организаций.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Разрешительный документ в электронной форме обладает одинаковой юридической силой наравне с разрешительным документом, выданным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таможенного дела при осуществлении таможенных операций обеспечивает принятие и использование электронных документов, выданных посредством ИСЕО.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в сфере таможенного дела, государственные органы в сфере реализации государственной политики в области аккредитации органов по оценке соответствия, а также государственные органы в сфере контроля и надзора за деятельностью ведомств/организаций обязаны при выполнении своих функций рассматривать электронные разрешительные документы, выданные посредством ИСЕО, наравне с разрешительными документами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Не допускается установление каких-либо ограничений на применение электронных документов в деятельности ведомств/организаций при выдаче разрешительных документов, за исключением случаев, предусмотренных законодательством Кыргызской Республики в области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ЦЕО осуществляет функции по обеспечению защиты, хранения и конфиденциальности информации и данных, поступающих в ИСЕО, обеспечению технического сопровождения и поддержанию работоспособности ИСЕО. Внесение изменений в работу ИСЕО производится ГП ЦЕО.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Информация, используемая ГП ЦЕО, ведомствами/организациями в соответствии с настоящим Положением, может использоваться исключительно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Сотрудники ведомств/организаций и ГП ЦЕО не вправе разглашать, использовать в личных целях информацию, составляющую служебную или коммерческую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разглашение информации, являющейся служебной или коммерческой тайной, сотрудники ведомств/организаций и ГП ЦЕО несут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выдачи разрешительных и иных документов государственными органами и иными организациями для осуществления внешнеэкономической деятельности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ведомств/организаций, взаимодействующих при оформлении документов через информационную систему «Единое окно»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</w:t>
      </w:r>
      <w:hyperlink w:history="1" r:id="rIdshizf9vruaqjk4lbvbk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2026 года № 204,</w:t>
        </w:r>
      </w:hyperlink>
      <w:hyperlink w:history="1" r:id="rId0ttmqjggkr0sf2b3zmr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2026-жылдын 2-апрелиндеги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hbn_yqqffcz_l1hbc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2026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585"/>
        <w:gridCol w:w="7085"/>
        <w:gridCol w:w="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ведомства/организации</w:t>
            </w:r>
          </w:p>
        </w:tc>
        <w:tc>
          <w:tcPr>
            <w:tcW w:type="dxa" w:w="7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выдаваемого или регистрируемого документа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ЕАЭС форм 1, 2,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форм 5а, 5b, 5с, 5d, 5е, 5f, 5g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(импорт), вывоз (экспорт) и транзит через территорию Кыргызской Республики перемещаемых товаров, подконтрольных государственному ветеринарному контролю и надзору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
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и безопасности медицинского изделия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органов тканей человека, крови и ее компонентов, образцов биологических материалов человека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по сертификации продукции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алкогольной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в Кыргызскую Республику или вывоз за пределы Кыргызской Республики объектов животного и растительного мира, их частей или дериватов, подпадающих под действие конвенции CITES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товаров и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Экспертные организации/уполномоченные государственные органы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заключение/разрешительный документ на экспорт и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органы контроля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безопасности конструкции транспортного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служебного гражданского оружия, его основных (составных) частей и патронов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экспорт/импорт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Аккредитованные испытательные лаборатории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лабораторных испытаний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7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характеристиках шифровальных (криптографических) средств и товаров, их содержащих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oqpwcdeatta5auq4l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dalil.kg/document/158183</w:t>
      </w:r>
    </w:hyperlink>
  </w:p>
  <w:p>
    <w:pPr>
      <w:spacing w:after="0" w:before="40"/>
      <w:jc w:val="center"/>
    </w:pPr>
    <w:hyperlink w:history="1" r:id="rIdtitgl8timhh16xkr3wi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y9lzysixj1g0vbiyq5c" Type="http://schemas.openxmlformats.org/officeDocument/2006/relationships/hyperlink" Target="https://dalil.kg/document/159433" TargetMode="External"/><Relationship Id="rId-0r99evz8ko9iv2uyljag" Type="http://schemas.openxmlformats.org/officeDocument/2006/relationships/hyperlink" Target="https://dalil.kg/document/230016387" TargetMode="External"/><Relationship Id="rIdizc1s4ixfwgrsixaygcym" Type="http://schemas.openxmlformats.org/officeDocument/2006/relationships/hyperlink" Target="https://dalil.kg/document/230043474" TargetMode="External"/><Relationship Id="rIducymyxx0jwjy3oy3hi5d8" Type="http://schemas.openxmlformats.org/officeDocument/2006/relationships/hyperlink" Target="https://dalil.kg/document/230043905" TargetMode="External"/><Relationship Id="rIduuuxmtt6qqbcgwo8yv_9k" Type="http://schemas.openxmlformats.org/officeDocument/2006/relationships/hyperlink" Target="https://dalil.kg/document/230047708" TargetMode="External"/><Relationship Id="rIdcnnhvwu7ginge5jp0jslg" Type="http://schemas.openxmlformats.org/officeDocument/2006/relationships/hyperlink" Target="https://dalil.kg/document/159433" TargetMode="External"/><Relationship Id="rId5z0mszs1uyphqvtrry445" Type="http://schemas.openxmlformats.org/officeDocument/2006/relationships/hyperlink" Target="https://dalil.kg/document/205058" TargetMode="External"/><Relationship Id="rIdtrioi9ir4ptzngojygepe" Type="http://schemas.openxmlformats.org/officeDocument/2006/relationships/hyperlink" Target="https://dalil.kg/document/230016387" TargetMode="External"/><Relationship Id="rIdm-qfc5ocyqviniro6iwxe" Type="http://schemas.openxmlformats.org/officeDocument/2006/relationships/hyperlink" Target="https://dalil.kg/document/230043474" TargetMode="External"/><Relationship Id="rIdtjfuscykohudortqz20kw" Type="http://schemas.openxmlformats.org/officeDocument/2006/relationships/hyperlink" Target="https://dalil.kg/document/205058#st_18" TargetMode="External"/><Relationship Id="rIdb1efb-kz3eh-w5vwcwe4b" Type="http://schemas.openxmlformats.org/officeDocument/2006/relationships/hyperlink" Target="https://dalil.kg/document/205058#st_19" TargetMode="External"/><Relationship Id="rIdngp7peek9zervx14c4nr9" Type="http://schemas.openxmlformats.org/officeDocument/2006/relationships/hyperlink" Target="https://dalil.kg/document/205058" TargetMode="External"/><Relationship Id="rIdpmufff7hh1zsyvedhbrhi" Type="http://schemas.openxmlformats.org/officeDocument/2006/relationships/hyperlink" Target="https://dalil.kg/document/205058" TargetMode="External"/><Relationship Id="rIdmjloetssjmnpdxk16njml" Type="http://schemas.openxmlformats.org/officeDocument/2006/relationships/hyperlink" Target="https://dalil.kg/document/205058#st_20" TargetMode="External"/><Relationship Id="rIdsj-o3oiddhgy3wne0nlcc" Type="http://schemas.openxmlformats.org/officeDocument/2006/relationships/hyperlink" Target="https://dalil.kg/document/205058#st_21" TargetMode="External"/><Relationship Id="rIdshizf9vruaqjk4lbvbkgk" Type="http://schemas.openxmlformats.org/officeDocument/2006/relationships/hyperlink" Target="https://dalil.kg/document/230043474" TargetMode="External"/><Relationship Id="rId0ttmqjggkr0sf2b3zmrik" Type="http://schemas.openxmlformats.org/officeDocument/2006/relationships/hyperlink" Target="https://dalil.kg/document/230043905" TargetMode="External"/><Relationship Id="rIdrvhbn_yqqffcz_l1hbcky" Type="http://schemas.openxmlformats.org/officeDocument/2006/relationships/hyperlink" Target="https://dalil.kg/document/23004770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oqpwcdeatta5auq4lzu" Type="http://schemas.openxmlformats.org/officeDocument/2006/relationships/hyperlink" Target="https://dalil.kg/document/158183" TargetMode="External"/><Relationship Id="rIdtitgl8timhh16xkr3wi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2026-09-24T00:40:58.763Z</dcterms:created>
  <dcterms:modified xsi:type="dcterms:W3CDTF">2026-09-24T00:40:58.763Z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