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(к </w:t>
      </w:r>
      <w:hyperlink w:history="1" r:id="rId7ckzknc_xrzph6rnhre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антимонопольного регулирования при Министерстве экономики и финансов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антимонопольного регулирования при Министерстве экономики и финансов Кыргызской Республики (далее – Госагентство).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является правопреемником Государственного агентства антимонопольного регулирования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конкуренции, надзор за соблюдением требований нормативно-правовых актов в области обеспечения единства измерений.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настоящим Положением и решениями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Госагентство осуществляет свою деятельность во взаимодействии с государственными органами, органами местного самоуправления, бизнес –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является юридическим лицом, имеет самостоятельный баланс, обособленное имущество,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Монополияга каршы жөнгө салуу мамлекеттик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антимонопольного регулирования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«МКЖСМА»;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«ГААР».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Госагентства: 720005, Кыргызская Республика, город Бишкек, улица Байтик Баатыра, 7 Б/1.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деятельности Госагентства является защита и развитие конкуренции, реализация государственной антимонопольной политики и политики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Госагентства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достижения баланса интересов потребителей и субъектов естественных монополий, доступность реализуемых ими товаров (работ, услуг) для потребителей и ценового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государственной защиты прав потребителей при приобретении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государственной защиты потребителей рекламы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интересов государства и граждан от последствий недостоверных результатов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соблюдением требований правил изготовления Государственного флага и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Госагентство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проектов нормативных правовых актов, направленных на совершенствование антимонопольного законодательства, законодательства в области обеспечения единства измерений,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по проектам законов и иных нормативных правовых актов, касающихся вопросов, отнесенных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на товарных рынках;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(бездействий)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Евразийской экономической комиссией (ЕЭК) по вопросам, связанным с направлениями деятельности Евразийского экономического Союза (ЕАЭС) и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регулярный процесс наблюдения за ценовой ситуацией на товарных рынках (мониторинг);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мониторинги по вопросам соблюдения законодательства Кыргызской Республики о защите прав потребителей и о рекламе;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виды и методы регулирования деятельности субъектов естественных монополий в соответствии с антимонопольным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антимонопольным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антимонопольного законодательства, законодательства в области обеспечения единства измерений, законодательства о защите прав потребителей и рекламе, в том числе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 неправомерных действиях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другим вопросам, отнесенным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проекта соглашения, составленного в письменной форме хозяйствующими субъектами, имеющими намерение достичь соглашения, требованиям антимонопольного законодательства, которое может быть признано допустимым в соответствии с </w:t>
      </w:r>
      <w:hyperlink w:history="1" r:id="rIdmrqvgbsbuksufq3kpr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решения (предписания, приказы и др.)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(выделении),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антимонопольного законодательства Кыргызской Республики,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регулируемых тарифов (цен), в том числе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общих правил конкуренции, установленных Договором о Евразийском экономическом Союзе на территории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ЕЭК по выявлению негативного влияния на конкуренцию, по проведению анализов состояния конкуренции и соблюдению общих правил конкуренции на трансграничных рынках;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на измерения, которые выполняются при: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организацию работ по проведению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надзор и анализ деятельности метрологических служб министерств, ведомств, юридических и физических лиц в сфере государственного регулирования в части выполнения требований законодательства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включению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 участием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государственный надзор: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требований правил изготовления Государственного флага и Государственного герба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по сертификации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правильностью ведения государственного реестра средств измерений и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предостережения о недопустимости совершения действий, которые могут привести к нарушению антимонопольного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в средствах массовой информации по принятым решениям, нормативным правовым актам, по вопросам, отнесённым к компетенции Госагентства;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по вопросам защиты прав потребителей и рекламы;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Министерством предложения по развитию международного сотрудничества в области антимонопольного регулирования, законодательства в области обеспечения единства измерений, защиты прав потребителей и рекламы</w:t>
      </w:r>
      <w:r>
        <w:rPr>
          <w:rFonts w:ascii="Arial" w:cs="Arial" w:eastAsia="Arial" w:hAnsi="Arial"/>
          <w:sz w:val="24"/>
          <w:szCs w:val="24"/>
        </w:rPr>
        <w:t xml:space="preserve">, а </w:t>
      </w:r>
      <w:r>
        <w:rPr>
          <w:rFonts w:ascii="Arial" w:cs="Arial" w:eastAsia="Arial" w:hAnsi="Arial"/>
          <w:sz w:val="24"/>
          <w:szCs w:val="24"/>
        </w:rPr>
        <w:t xml:space="preserve">также другим вопросам, отнесенным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документов, образовавшихся в процессе деятельности Госагентства в соответствии с законодательством Кыргызской Республики в сфере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Госагентство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предложения по совершенствованию законодательства Кыргызской Республики в пределах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в области обеспечения единства измерений, законодательства о защите прав потребителей и других нормативных правовых актов, в пределах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вносить, при необходимости, в правоохранительные органы материалы о нарушениях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и получать от государственных органов, органов местного самоуправления, хозяйствующих субъектов, независимо от форм собственности,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рассмотрении заявлений о нарушении антимонопольного законодательства, осуществлении государственного контроля за экономической концентрацией и проведением анализа состояния конкуренции, на беспрепятственный доступ (при предъявлении служебных удостоверений и решения директора Госагентства) в государственные органы, органы местного самоуправления, организации и учреждения, хозяйствующие субъекты и их объединения, независимо от организационно-правовой формы и формы собственности,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доступа, на основании письменного запроса, к информации о хозяйственной деятельности субъектов естественных монополий, имеющейся у государственных органов и органов местного самоуправления, а также у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посещать объекты, где эксплуатируются, производятся, ремонтируются, продаются, содержатся или хранятся средства измерения независимо от формы собственности этих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соответствие используемых единиц величин, допущенных к применению;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проверять состояние средств измерений и условия их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проверять исполнение требований законодательства Кыргызской Республики 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количество товаров, отчуждаемых при совершении торговых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запрещать применение и выпуск средств измерений неутвержденного типа или не соответствующих утвержденному типу, а также непроверенных и неисправных;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назначать сплошную единовременную поверку средств измерений, входящих в сферу государственного регулирования, устанавливать, при необходимости, сокращенный межпроверочный интервал;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изымать в установленном порядке из обращения средства измерений, не соответствующие обязательным требованиям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специалистов – метрологов государственных органов, метрологических служб предприятий и организаций с их согласия, для проведения метрологической экспертизы средств измерений и дачи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 в установленном порядке от метрологических служб организаций, юридических лиц и индивидуальных предпринимателей, осуществляющих работу в сфере государственного регулирования, не зависимо от форм собственности, в пределах своих полномочий, информацию, необходимую для исполнения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совещательные органы (советы, комиссии, группы), в том числе межведомственные, в установленной сфере деятельности, состав и положения которого утверждаются директором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 Кыргызской Республики,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 профессиональную подготовку работников, их переподготовку, повышение квалификации и стажировку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организовывать конференции, практические курсы и семинары, «круглые столы» по вопросам,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и ответственность Госагентства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Права, обязанности и ответственность Госагентства, а также порядок обжалования действий должностных лиц регулируются антимонопольным законодательством Кыргызской Республики и другими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Госагентства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информацию, которая получена ими при исполнении служебных обязанностей, исключительно в служебных целях,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Госагентство обязано рассматривать и принимать решения по письменным жалобам/заявлениям и информировать заявителей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Госагентства за невыполнение или ненадлежащее выполнение своих обязанностей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вследствие ненадлежащего осуществления Госагентством и его сотрудниками своих обязанностей прямые убытки (ущерб, включая упущенную выгоду)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Госагентство возглавляет директор,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 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Госагентства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Госагентства имеет заместителей, которые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Госагентства в его отсутствие возлагается на одного из заместителей.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Госагентства и несет персональную ответственность за выполнение возложенных на Госагентство задач;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Кыргызской Республики порядке подписывает международные договоры по вопросам, отнесенным к компетенции Госагентства;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вице-премьер-министру – министру экономики и финансов проекты структуры и штатного расписания Госагентства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заместителей директора, а также определяет полномочия других должностных лиц Госагентства при решении организационных, кадровых, финансово-хозяйственных и иных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центрального аппарата и территориальных подразделениях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Госагентства,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решения в рамках делегированных вице-премьер-министром – министром экономики и финансов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(приказы, распоряжения) по вопросам, отнесенным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коллективный договор с представительным органом работников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в установленном порядке меры дисциплинарной ответственности к сотрудникам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в установленном порядке нагрудные знаки (награды) Госагентства для награждения работников Госагентства, а также граждан, содействующих выполнению задач Госагентства,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Госагентства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решает вопросы о премировании работников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управляет средствами и имуществом Госагентства в установленном бюджетным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Госагентство состоит из центрального аппарата и территориальных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Госагентства утверждаются вице-премьер-министром – министром экономики и финансов </w:t>
      </w:r>
      <w:r>
        <w:rPr>
          <w:rFonts w:ascii="Arial" w:cs="Arial" w:eastAsia="Arial" w:hAnsi="Arial"/>
          <w:sz w:val="24"/>
          <w:szCs w:val="24"/>
        </w:rPr>
        <w:t xml:space="preserve">в пределах утвержденных штатной численности и фонда оплаты труда, изменение которых возможно только в связи с изменением задач и функций Госагентства. При этом назначение председателя не является основанием для изменения структуры Госагентства.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Госагентстве образуется коллегия в количестве 11 человек, в составе директора Госагентства, заместителей директора, представителя Аппарата Правительства Кыргызской Республики, представителей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Госагентства.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Госагентства утверждается директором Госагентства.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Госагентстве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Госагентство содержится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Госагентство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Госагентство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Госагентства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Госагентства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c1qjcbfhcgjkjcwl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dalil.kg/document/158189</w:t>
      </w:r>
    </w:hyperlink>
  </w:p>
  <w:p>
    <w:pPr>
      <w:spacing w:after="0" w:before="40"/>
      <w:jc w:val="center"/>
    </w:pPr>
    <w:hyperlink w:history="1" r:id="rId-wsipiizaugeihta9n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kzknc_xrzph6rnhrehx" Type="http://schemas.openxmlformats.org/officeDocument/2006/relationships/hyperlink" Target="https://dalil.kg/document/158179" TargetMode="External"/><Relationship Id="rIdmrqvgbsbuksufq3kprcpe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c1qjcbfhcgjkjcwlwgr" Type="http://schemas.openxmlformats.org/officeDocument/2006/relationships/hyperlink" Target="https://dalil.kg/document/158189" TargetMode="External"/><Relationship Id="rId-wsipiizaugeihta9nh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2026-09-29T19:17:58.715Z</dcterms:created>
  <dcterms:modified xsi:type="dcterms:W3CDTF">2026-09-29T19:17:58.715Z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