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назначения временного внешнего управляющего</w:t>
      </w:r>
    </w:p>
    <w:p>
      <w:pPr>
        <w:spacing w:after="60"/>
        <w:ind w:firstLine="567"/>
        <w:jc w:val="both"/>
      </w:pPr>
      <w:r>
        <w:rPr>
          <w:rFonts w:ascii="Arial" w:cs="Arial" w:eastAsia="Arial" w:hAnsi="Arial"/>
          <w:sz w:val="24"/>
          <w:szCs w:val="24"/>
        </w:rPr>
        <w:t xml:space="preserve">1. Настоящий Порядок определяет процедуру назначения временного внешнего управляющего (далее - внешний управляющий) на период введения временного внешнего управления в акционерных обществах (далее - общество), осуществляющих деятельность в сфере недропользования.</w:t>
      </w:r>
    </w:p>
    <w:p>
      <w:pPr>
        <w:spacing w:after="60"/>
        <w:ind w:firstLine="567"/>
        <w:jc w:val="both"/>
      </w:pPr>
      <w:r>
        <w:rPr>
          <w:rFonts w:ascii="Arial" w:cs="Arial" w:eastAsia="Arial" w:hAnsi="Arial"/>
          <w:sz w:val="24"/>
          <w:szCs w:val="24"/>
        </w:rPr>
        <w:t xml:space="preserve">2. Задачей временного внешнего управляющего является обеспечение непрерывной производственной, экономической и иной деятельности юридического лица в условиях непринятия уполномоченным органом общества, необходимых мер для устранения нарушения требований по охране недр, экологической и промышленной безопасности, установленных законодательством Кыргызской Республики, создающего непосредственную угрозу жизни или здоровью людей, работающих или проживающих в зоне влияния работ.</w:t>
      </w:r>
    </w:p>
    <w:p>
      <w:pPr>
        <w:spacing w:after="60"/>
        <w:ind w:firstLine="567"/>
        <w:jc w:val="both"/>
      </w:pPr>
      <w:r>
        <w:rPr>
          <w:rFonts w:ascii="Arial" w:cs="Arial" w:eastAsia="Arial" w:hAnsi="Arial"/>
          <w:sz w:val="24"/>
          <w:szCs w:val="24"/>
        </w:rPr>
        <w:t xml:space="preserve">3. Внешний управляющий назначается распоряжением Председателя Кабинета Министров Кыргызской Республики по предложению уполномоченного государственного органа в сфере управления государственным имуществом.</w:t>
      </w:r>
    </w:p>
    <w:p>
      <w:pPr>
        <w:spacing w:after="60"/>
        <w:ind w:firstLine="567"/>
        <w:jc w:val="both"/>
      </w:pPr>
      <w:r>
        <w:rPr>
          <w:rFonts w:ascii="Arial" w:cs="Arial" w:eastAsia="Arial" w:hAnsi="Arial"/>
          <w:sz w:val="24"/>
          <w:szCs w:val="24"/>
        </w:rPr>
        <w:t xml:space="preserve">4. Под процедурой временного внешнего управления в обществе понимается регламентируемая настоящим Порядком деятельность внешнего управляющего, специально назначенного для целей, предусмотренных пунктом 2 настоящего Порядка.</w:t>
      </w:r>
    </w:p>
    <w:p>
      <w:pPr>
        <w:spacing w:after="60"/>
        <w:ind w:firstLine="567"/>
        <w:jc w:val="both"/>
      </w:pPr>
      <w:r>
        <w:rPr>
          <w:rFonts w:ascii="Arial" w:cs="Arial" w:eastAsia="Arial" w:hAnsi="Arial"/>
          <w:sz w:val="24"/>
          <w:szCs w:val="24"/>
        </w:rPr>
        <w:t xml:space="preserve">5. Внешний управляющий должен соответствовать следующим критериям:</w:t>
      </w:r>
    </w:p>
    <w:p>
      <w:pPr>
        <w:spacing w:after="60"/>
        <w:ind w:firstLine="567"/>
        <w:jc w:val="both"/>
      </w:pPr>
      <w:r>
        <w:rPr>
          <w:rFonts w:ascii="Arial" w:cs="Arial" w:eastAsia="Arial" w:hAnsi="Arial"/>
          <w:sz w:val="24"/>
          <w:szCs w:val="24"/>
        </w:rPr>
        <w:t xml:space="preserve">1) для физического лица:</w:t>
      </w:r>
    </w:p>
    <w:p>
      <w:pPr>
        <w:spacing w:after="60"/>
        <w:ind w:firstLine="567"/>
        <w:jc w:val="both"/>
      </w:pPr>
      <w:r>
        <w:rPr>
          <w:rFonts w:ascii="Arial" w:cs="Arial" w:eastAsia="Arial" w:hAnsi="Arial"/>
          <w:sz w:val="24"/>
          <w:szCs w:val="24"/>
        </w:rPr>
        <w:t xml:space="preserve">- являться гражданином Кыргызской Республики;</w:t>
      </w:r>
    </w:p>
    <w:p>
      <w:pPr>
        <w:spacing w:after="60"/>
        <w:ind w:firstLine="567"/>
        <w:jc w:val="both"/>
      </w:pPr>
      <w:r>
        <w:rPr>
          <w:rFonts w:ascii="Arial" w:cs="Arial" w:eastAsia="Arial" w:hAnsi="Arial"/>
          <w:sz w:val="24"/>
          <w:szCs w:val="24"/>
        </w:rPr>
        <w:t xml:space="preserve">- иметь высшее образование в области экономической, юридической или технической сферы;</w:t>
      </w:r>
    </w:p>
    <w:p>
      <w:pPr>
        <w:spacing w:after="60"/>
        <w:ind w:firstLine="567"/>
        <w:jc w:val="both"/>
      </w:pPr>
      <w:r>
        <w:rPr>
          <w:rFonts w:ascii="Arial" w:cs="Arial" w:eastAsia="Arial" w:hAnsi="Arial"/>
          <w:sz w:val="24"/>
          <w:szCs w:val="24"/>
        </w:rPr>
        <w:t xml:space="preserve">- иметь опыт работы на руководящей должности не менее 5 лет;</w:t>
      </w:r>
    </w:p>
    <w:p>
      <w:pPr>
        <w:spacing w:after="60"/>
        <w:ind w:firstLine="567"/>
        <w:jc w:val="both"/>
      </w:pPr>
      <w:r>
        <w:rPr>
          <w:rFonts w:ascii="Arial" w:cs="Arial" w:eastAsia="Arial" w:hAnsi="Arial"/>
          <w:sz w:val="24"/>
          <w:szCs w:val="24"/>
        </w:rPr>
        <w:t xml:space="preserve">- иметь опыт реализации проектов в сфере недропользования;</w:t>
      </w:r>
    </w:p>
    <w:p>
      <w:pPr>
        <w:spacing w:after="60"/>
        <w:ind w:firstLine="567"/>
        <w:jc w:val="both"/>
      </w:pPr>
      <w:r>
        <w:rPr>
          <w:rFonts w:ascii="Arial" w:cs="Arial" w:eastAsia="Arial" w:hAnsi="Arial"/>
          <w:sz w:val="24"/>
          <w:szCs w:val="24"/>
        </w:rPr>
        <w:t xml:space="preserve">2) для юридического лица:</w:t>
      </w:r>
    </w:p>
    <w:p>
      <w:pPr>
        <w:spacing w:after="60"/>
        <w:ind w:firstLine="567"/>
        <w:jc w:val="both"/>
      </w:pPr>
      <w:r>
        <w:rPr>
          <w:rFonts w:ascii="Arial" w:cs="Arial" w:eastAsia="Arial" w:hAnsi="Arial"/>
          <w:sz w:val="24"/>
          <w:szCs w:val="24"/>
        </w:rPr>
        <w:t xml:space="preserve">- иметь юридическую регистрацию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осуществлять деятельность в сфере консультационных и/или консалтинговых услуг;</w:t>
      </w:r>
    </w:p>
    <w:p>
      <w:pPr>
        <w:spacing w:after="60"/>
        <w:ind w:firstLine="567"/>
        <w:jc w:val="both"/>
      </w:pPr>
      <w:r>
        <w:rPr>
          <w:rFonts w:ascii="Arial" w:cs="Arial" w:eastAsia="Arial" w:hAnsi="Arial"/>
          <w:sz w:val="24"/>
          <w:szCs w:val="24"/>
        </w:rPr>
        <w:t xml:space="preserve">- иметь опыт реализации проектов в сфере недропользования.</w:t>
      </w:r>
    </w:p>
    <w:p>
      <w:pPr>
        <w:spacing w:after="60"/>
        <w:ind w:firstLine="567"/>
        <w:jc w:val="both"/>
      </w:pPr>
      <w:r>
        <w:rPr>
          <w:rFonts w:ascii="Arial" w:cs="Arial" w:eastAsia="Arial" w:hAnsi="Arial"/>
          <w:sz w:val="24"/>
          <w:szCs w:val="24"/>
        </w:rPr>
        <w:t xml:space="preserve">6. С момента назначения внешнего управляющего полномочия исполнительного органа общества приостанавливаются на период временного внешнего управления. Временный управляющий наделяется всеми полномочиями исполнительного органа общества, предусмотренными уставом, законами, иными нормативными правовыми актами Кыргызской Республики в сфере регулирования деятельности акционерных обществ.</w:t>
      </w:r>
    </w:p>
    <w:p>
      <w:pPr>
        <w:spacing w:after="60"/>
        <w:ind w:firstLine="567"/>
        <w:jc w:val="both"/>
      </w:pPr>
      <w:r>
        <w:rPr>
          <w:rFonts w:ascii="Arial" w:cs="Arial" w:eastAsia="Arial" w:hAnsi="Arial"/>
          <w:sz w:val="24"/>
          <w:szCs w:val="24"/>
        </w:rPr>
        <w:t xml:space="preserve">7. Внешний управляющий осуществляет текущее руководство и ведет финансово-экономическую деятельность юридического лица, открывает специальный расчетный счет в банковском учреждении, а также имеет право на совершение действий, в том числе, но не ограничиваясь следующим:</w:t>
      </w:r>
    </w:p>
    <w:p>
      <w:pPr>
        <w:spacing w:after="60"/>
        <w:ind w:firstLine="567"/>
        <w:jc w:val="both"/>
      </w:pPr>
      <w:r>
        <w:rPr>
          <w:rFonts w:ascii="Arial" w:cs="Arial" w:eastAsia="Arial" w:hAnsi="Arial"/>
          <w:sz w:val="24"/>
          <w:szCs w:val="24"/>
        </w:rPr>
        <w:t xml:space="preserve">1) образование и отзыв исполнительного и контрольного органа управления общества;</w:t>
      </w:r>
    </w:p>
    <w:p>
      <w:pPr>
        <w:spacing w:after="60"/>
        <w:ind w:firstLine="567"/>
        <w:jc w:val="both"/>
      </w:pPr>
      <w:r>
        <w:rPr>
          <w:rFonts w:ascii="Arial" w:cs="Arial" w:eastAsia="Arial" w:hAnsi="Arial"/>
          <w:sz w:val="24"/>
          <w:szCs w:val="24"/>
        </w:rPr>
        <w:t xml:space="preserve">2) утверждение годовых отчетов и бухгалтерских балансов общества и распределение его прибылей и убытков;</w:t>
      </w:r>
    </w:p>
    <w:p>
      <w:pPr>
        <w:spacing w:after="60"/>
        <w:ind w:firstLine="567"/>
        <w:jc w:val="both"/>
      </w:pPr>
      <w:r>
        <w:rPr>
          <w:rFonts w:ascii="Arial" w:cs="Arial" w:eastAsia="Arial" w:hAnsi="Arial"/>
          <w:sz w:val="24"/>
          <w:szCs w:val="24"/>
        </w:rPr>
        <w:t xml:space="preserve">3) заключение трудовых, любых гражданско-правовых, в том числе внешнеэкономических сделок;</w:t>
      </w:r>
    </w:p>
    <w:p>
      <w:pPr>
        <w:spacing w:after="60"/>
        <w:ind w:firstLine="567"/>
        <w:jc w:val="both"/>
      </w:pPr>
      <w:r>
        <w:rPr>
          <w:rFonts w:ascii="Arial" w:cs="Arial" w:eastAsia="Arial" w:hAnsi="Arial"/>
          <w:sz w:val="24"/>
          <w:szCs w:val="24"/>
        </w:rPr>
        <w:t xml:space="preserve">4) открытие и закрытие в банковских учреждениях расчетных и других счетов;</w:t>
      </w:r>
    </w:p>
    <w:p>
      <w:pPr>
        <w:spacing w:after="60"/>
        <w:ind w:firstLine="567"/>
        <w:jc w:val="both"/>
      </w:pPr>
      <w:r>
        <w:rPr>
          <w:rFonts w:ascii="Arial" w:cs="Arial" w:eastAsia="Arial" w:hAnsi="Arial"/>
          <w:sz w:val="24"/>
          <w:szCs w:val="24"/>
        </w:rPr>
        <w:t xml:space="preserve">5) проведение платежей и выдача денежных средств и их эквивалентов;</w:t>
      </w:r>
    </w:p>
    <w:p>
      <w:pPr>
        <w:spacing w:after="60"/>
        <w:ind w:firstLine="567"/>
        <w:jc w:val="both"/>
      </w:pPr>
      <w:r>
        <w:rPr>
          <w:rFonts w:ascii="Arial" w:cs="Arial" w:eastAsia="Arial" w:hAnsi="Arial"/>
          <w:sz w:val="24"/>
          <w:szCs w:val="24"/>
        </w:rPr>
        <w:t xml:space="preserve">6) осуществление действий от имени юридического лица без доверенности;</w:t>
      </w:r>
    </w:p>
    <w:p>
      <w:pPr>
        <w:spacing w:after="60"/>
        <w:ind w:firstLine="567"/>
        <w:jc w:val="both"/>
      </w:pPr>
      <w:r>
        <w:rPr>
          <w:rFonts w:ascii="Arial" w:cs="Arial" w:eastAsia="Arial" w:hAnsi="Arial"/>
          <w:sz w:val="24"/>
          <w:szCs w:val="24"/>
        </w:rPr>
        <w:t xml:space="preserve">7) выдача доверенности работникам и третьим лицам;</w:t>
      </w:r>
    </w:p>
    <w:p>
      <w:pPr>
        <w:spacing w:after="60"/>
        <w:ind w:firstLine="567"/>
        <w:jc w:val="both"/>
      </w:pPr>
      <w:r>
        <w:rPr>
          <w:rFonts w:ascii="Arial" w:cs="Arial" w:eastAsia="Arial" w:hAnsi="Arial"/>
          <w:sz w:val="24"/>
          <w:szCs w:val="24"/>
        </w:rPr>
        <w:t xml:space="preserve">8) представление юридического лица в государственных, судебных и иных органах.</w:t>
      </w:r>
    </w:p>
    <w:p>
      <w:pPr>
        <w:spacing w:after="60"/>
        <w:ind w:firstLine="567"/>
        <w:jc w:val="both"/>
      </w:pPr>
      <w:r>
        <w:rPr>
          <w:rFonts w:ascii="Arial" w:cs="Arial" w:eastAsia="Arial" w:hAnsi="Arial"/>
          <w:sz w:val="24"/>
          <w:szCs w:val="24"/>
        </w:rPr>
        <w:t xml:space="preserve">8. Для реализации вышеуказанных задач внешний управляющий имеет следующие права и обязанности:</w:t>
      </w:r>
    </w:p>
    <w:p>
      <w:pPr>
        <w:spacing w:after="60"/>
        <w:ind w:firstLine="567"/>
        <w:jc w:val="both"/>
      </w:pPr>
      <w:r>
        <w:rPr>
          <w:rFonts w:ascii="Arial" w:cs="Arial" w:eastAsia="Arial" w:hAnsi="Arial"/>
          <w:sz w:val="24"/>
          <w:szCs w:val="24"/>
        </w:rPr>
        <w:t xml:space="preserve">1) беспрепятственно получать любую информацию о деятельности общества и иметь прямой доступ к ним;</w:t>
      </w:r>
    </w:p>
    <w:p>
      <w:pPr>
        <w:spacing w:after="60"/>
        <w:ind w:firstLine="567"/>
        <w:jc w:val="both"/>
      </w:pPr>
      <w:r>
        <w:rPr>
          <w:rFonts w:ascii="Arial" w:cs="Arial" w:eastAsia="Arial" w:hAnsi="Arial"/>
          <w:sz w:val="24"/>
          <w:szCs w:val="24"/>
        </w:rPr>
        <w:t xml:space="preserve">2) требовать и получать в свое распоряжение любые бухгалтерские книги, отчетность или другие документы, касающиеся деятельности общества;</w:t>
      </w:r>
    </w:p>
    <w:p>
      <w:pPr>
        <w:spacing w:after="60"/>
        <w:ind w:firstLine="567"/>
        <w:jc w:val="both"/>
      </w:pPr>
      <w:r>
        <w:rPr>
          <w:rFonts w:ascii="Arial" w:cs="Arial" w:eastAsia="Arial" w:hAnsi="Arial"/>
          <w:sz w:val="24"/>
          <w:szCs w:val="24"/>
        </w:rPr>
        <w:t xml:space="preserve">3) предоставлять уполномоченному органу в сфере управления государственным имуществом ежемесячно отчет о деятельности общества;</w:t>
      </w:r>
    </w:p>
    <w:p>
      <w:pPr>
        <w:spacing w:after="60"/>
        <w:ind w:firstLine="567"/>
        <w:jc w:val="both"/>
      </w:pPr>
      <w:r>
        <w:rPr>
          <w:rFonts w:ascii="Arial" w:cs="Arial" w:eastAsia="Arial" w:hAnsi="Arial"/>
          <w:sz w:val="24"/>
          <w:szCs w:val="24"/>
        </w:rPr>
        <w:t xml:space="preserve">4) добросовестно исполнять возложенные на внешнего управляющего обязанности;</w:t>
      </w:r>
    </w:p>
    <w:p>
      <w:pPr>
        <w:spacing w:after="60"/>
        <w:ind w:firstLine="567"/>
        <w:jc w:val="both"/>
      </w:pPr>
      <w:r>
        <w:rPr>
          <w:rFonts w:ascii="Arial" w:cs="Arial" w:eastAsia="Arial" w:hAnsi="Arial"/>
          <w:sz w:val="24"/>
          <w:szCs w:val="24"/>
        </w:rPr>
        <w:t xml:space="preserve">5) действовать исключительно в интересах общества, не допускать конфликта интересов;</w:t>
      </w:r>
    </w:p>
    <w:p>
      <w:pPr>
        <w:spacing w:after="60"/>
        <w:ind w:firstLine="567"/>
        <w:jc w:val="both"/>
      </w:pPr>
      <w:r>
        <w:rPr>
          <w:rFonts w:ascii="Arial" w:cs="Arial" w:eastAsia="Arial" w:hAnsi="Arial"/>
          <w:sz w:val="24"/>
          <w:szCs w:val="24"/>
        </w:rPr>
        <w:t xml:space="preserve">6) эффективно распоряжаться активами общества.</w:t>
      </w:r>
    </w:p>
    <w:p>
      <w:pPr>
        <w:spacing w:after="60"/>
        <w:ind w:firstLine="567"/>
        <w:jc w:val="both"/>
      </w:pPr>
      <w:r>
        <w:rPr>
          <w:rFonts w:ascii="Arial" w:cs="Arial" w:eastAsia="Arial" w:hAnsi="Arial"/>
          <w:sz w:val="24"/>
          <w:szCs w:val="24"/>
        </w:rPr>
        <w:t xml:space="preserve">9. Участники (учредители), акционеры, руководители, работники общества должны оказывать всестороннее содействие внешнему управляющему в выполнении его функциональных обязанностей.</w:t>
      </w:r>
    </w:p>
    <w:p>
      <w:pPr>
        <w:spacing w:after="60"/>
        <w:ind w:firstLine="567"/>
        <w:jc w:val="both"/>
      </w:pPr>
      <w:r>
        <w:rPr>
          <w:rFonts w:ascii="Arial" w:cs="Arial" w:eastAsia="Arial" w:hAnsi="Arial"/>
          <w:sz w:val="24"/>
          <w:szCs w:val="24"/>
        </w:rPr>
        <w:t xml:space="preserve">10. Внешний управляющий имеет право на вознаграждение за счет средств общества. Размер вознаграждения устанавливается внутренними локальными актами общества.</w:t>
      </w:r>
    </w:p>
    <w:p>
      <w:pPr>
        <w:spacing w:after="60"/>
        <w:ind w:firstLine="567"/>
        <w:jc w:val="both"/>
      </w:pPr>
      <w:r>
        <w:rPr>
          <w:rFonts w:ascii="Arial" w:cs="Arial" w:eastAsia="Arial" w:hAnsi="Arial"/>
          <w:sz w:val="24"/>
          <w:szCs w:val="24"/>
        </w:rPr>
        <w:t xml:space="preserve">11. Внешний управляющий обязан следить за тем, чтобы во всех исходящих документах юридического лица (письмах, счетах-фактурах, договорных, финансовых документах и прочие) содержались сведения о том, что в обществе введена процедура внешнего управления.</w:t>
      </w:r>
    </w:p>
    <w:p>
      <w:pPr>
        <w:spacing w:after="60"/>
        <w:ind w:firstLine="567"/>
        <w:jc w:val="both"/>
      </w:pPr>
      <w:r>
        <w:rPr>
          <w:rFonts w:ascii="Arial" w:cs="Arial" w:eastAsia="Arial" w:hAnsi="Arial"/>
          <w:sz w:val="24"/>
          <w:szCs w:val="24"/>
        </w:rPr>
        <w:t xml:space="preserve">12. Внешний управляющий может быть освобожден от исполнения своих обязанностей в следующих случаях:</w:t>
      </w:r>
    </w:p>
    <w:p>
      <w:pPr>
        <w:spacing w:after="60"/>
        <w:ind w:firstLine="567"/>
        <w:jc w:val="both"/>
      </w:pPr>
      <w:r>
        <w:rPr>
          <w:rFonts w:ascii="Arial" w:cs="Arial" w:eastAsia="Arial" w:hAnsi="Arial"/>
          <w:sz w:val="24"/>
          <w:szCs w:val="24"/>
        </w:rPr>
        <w:t xml:space="preserve">1) вступление в законную силу приговора суда по уголовному делу в отношении внешнего управляющего;</w:t>
      </w:r>
    </w:p>
    <w:p>
      <w:pPr>
        <w:spacing w:after="60"/>
        <w:ind w:firstLine="567"/>
        <w:jc w:val="both"/>
      </w:pPr>
      <w:r>
        <w:rPr>
          <w:rFonts w:ascii="Arial" w:cs="Arial" w:eastAsia="Arial" w:hAnsi="Arial"/>
          <w:sz w:val="24"/>
          <w:szCs w:val="24"/>
        </w:rPr>
        <w:t xml:space="preserve">2) подаче внешним управляющим заявления об освобождении его от исполнения обязанностей;</w:t>
      </w:r>
    </w:p>
    <w:p>
      <w:pPr>
        <w:spacing w:after="60"/>
        <w:ind w:firstLine="567"/>
        <w:jc w:val="both"/>
      </w:pPr>
      <w:r>
        <w:rPr>
          <w:rFonts w:ascii="Arial" w:cs="Arial" w:eastAsia="Arial" w:hAnsi="Arial"/>
          <w:sz w:val="24"/>
          <w:szCs w:val="24"/>
        </w:rPr>
        <w:t xml:space="preserve">3) выявление или возникновение обстоятельств, препятствующих исполнению обязанностей (назначению) внешнего управляющего;</w:t>
      </w:r>
    </w:p>
    <w:p>
      <w:pPr>
        <w:spacing w:after="60"/>
        <w:ind w:firstLine="567"/>
        <w:jc w:val="both"/>
      </w:pPr>
      <w:r>
        <w:rPr>
          <w:rFonts w:ascii="Arial" w:cs="Arial" w:eastAsia="Arial" w:hAnsi="Arial"/>
          <w:sz w:val="24"/>
          <w:szCs w:val="24"/>
        </w:rPr>
        <w:t xml:space="preserve">4) прекращение (завершение) в установленном порядке процедуры, на проведение которой внешний управляющий был назначен;</w:t>
      </w:r>
    </w:p>
    <w:p>
      <w:pPr>
        <w:spacing w:after="60"/>
        <w:ind w:firstLine="567"/>
        <w:jc w:val="both"/>
      </w:pPr>
      <w:r>
        <w:rPr>
          <w:rFonts w:ascii="Arial" w:cs="Arial" w:eastAsia="Arial" w:hAnsi="Arial"/>
          <w:sz w:val="24"/>
          <w:szCs w:val="24"/>
        </w:rPr>
        <w:t xml:space="preserve">5) по представлению уполномоченного органа в сфере управления государственным имуществом по результатам анализа деятельности временного управляющего.</w:t>
      </w:r>
    </w:p>
    <w:p>
      <w:pPr>
        <w:spacing w:after="60"/>
        <w:ind w:firstLine="567"/>
        <w:jc w:val="both"/>
      </w:pPr>
      <w:r>
        <w:rPr>
          <w:rFonts w:ascii="Arial" w:cs="Arial" w:eastAsia="Arial" w:hAnsi="Arial"/>
          <w:sz w:val="24"/>
          <w:szCs w:val="24"/>
        </w:rPr>
        <w:t xml:space="preserve">13. Временный внешний управляющий несет ответственность за надлежащее и/или ненадлежащее исполнение обязанностей по управлению обществом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После завершения процедуры внешнего управления внешний управляющий представляет в Кабинет Министров Кыргызской Республики заключительный отчет о результатах своей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dgpgycif-rhwnvgrf4x">
      <w:r>
        <w:rPr>
          <w:rFonts w:ascii="Arial" w:cs="Arial" w:eastAsia="Arial" w:hAnsi="Arial"/>
          <w:color w:val="132D3F"/>
          <w:sz w:val="16"/>
          <w:szCs w:val="16"/>
          <w:u w:val="single"/>
        </w:rPr>
        <w:t xml:space="preserve">dalil.kg/document/158246</w:t>
      </w:r>
    </w:hyperlink>
  </w:p>
  <w:p>
    <w:pPr>
      <w:spacing w:after="0" w:before="40"/>
      <w:jc w:val="center"/>
    </w:pPr>
    <w:hyperlink w:history="1" r:id="rIdfhedu3v5wheevsvudfu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dgpgycif-rhwnvgrf4x" Type="http://schemas.openxmlformats.org/officeDocument/2006/relationships/hyperlink" Target="https://dalil.kg/document/158246" TargetMode="External"/><Relationship Id="rIdfhedu3v5wheevsvudfu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2026-09-29T02:40:57.512Z</dcterms:created>
  <dcterms:modified xsi:type="dcterms:W3CDTF">2026-09-29T02:40:57.512Z</dcterms:modified>
</cp:coreProperties>
</file>

<file path=docProps/custom.xml><?xml version="1.0" encoding="utf-8"?>
<Properties xmlns="http://schemas.openxmlformats.org/officeDocument/2006/custom-properties" xmlns:vt="http://schemas.openxmlformats.org/officeDocument/2006/docPropsVTypes"/>
</file>