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(Утверждена </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Стратегия развития небанковского финансового рынка Кыргызской Республики на 2021  ̶ 2025 годы Введение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dhy8qgubsfcydqrxywa3">
        <w:r>
          <w:rPr>
            <w:rFonts w:ascii="Arial" w:cs="Arial" w:eastAsia="Arial" w:hAnsi="Arial"/>
            <w:i/>
            <w:iCs/>
            <w:color w:val="1D4ED8"/>
            <w:sz w:val="24"/>
            <w:szCs w:val="24"/>
            <w:u w:val="single"/>
          </w:rPr>
          <w:t xml:space="preserve">16 августа 2024 года № 477</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Стратегии является обеспечение ускоренного экономического роста через достижение устойчивого и эффективного функционирования небанковского финансового рынка, удовлетворяющего потребностям реального сектора экономики и населения страны в получении качественных услуг по привлечению финансовых ресурсов и трансформации их и сбережений в инвестиции в условиях конкурентной среды.</w:t>
      </w:r>
    </w:p>
    <w:p>
      <w:pPr>
        <w:spacing w:after="120"/>
        <w:jc w:val="both"/>
      </w:pPr>
      <w:r>
        <w:rPr>
          <w:rFonts w:ascii="Arial" w:cs="Arial" w:eastAsia="Arial" w:hAnsi="Arial"/>
          <w:sz w:val="24"/>
          <w:szCs w:val="24"/>
        </w:rPr>
        <w:t xml:space="preserve">Настоящая Стратегия также нацелена на формирование благоприятного инвестиционного климата через реализацию мер по повышению ликвидности рынка финансовых инструментов и привлекательности долгосрочных инвестиций, расширению финансовых инструментов, обращающихся на фондовом рынке, перечня оказываемых услуг.</w:t>
      </w:r>
    </w:p>
    <w:p>
      <w:pPr>
        <w:spacing w:after="120"/>
        <w:jc w:val="both"/>
      </w:pPr>
      <w:r>
        <w:rPr>
          <w:rFonts w:ascii="Arial" w:cs="Arial" w:eastAsia="Arial" w:hAnsi="Arial"/>
          <w:sz w:val="24"/>
          <w:szCs w:val="24"/>
        </w:rPr>
        <w:t xml:space="preserve">Особенностью настоящей Стратегии является ее комплексный характер. Ранее разрабатывались и реализовывались лишь отдельные секторальные стратегические документы в сферах небанковского финансового рынка. В связи с этим впервые разработан стратегический документ, в котором охвачены все сегменты небанковского финансового рынка.</w:t>
      </w:r>
    </w:p>
    <w:p>
      <w:pPr>
        <w:spacing w:after="120"/>
        <w:jc w:val="both"/>
      </w:pPr>
      <w:r>
        <w:rPr>
          <w:rFonts w:ascii="Arial" w:cs="Arial" w:eastAsia="Arial" w:hAnsi="Arial"/>
          <w:sz w:val="24"/>
          <w:szCs w:val="24"/>
        </w:rPr>
        <w:t xml:space="preserve">В среднесрочном периоде поставленные в настоящей Стратегии цели и задачи позволят оказать должное влияние небанковского финансового рынка на экономический рост страны и создать условия для повышения уровня и качества жизни граждан.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Оценка текущего состояния и анализ развития небанковского финансового рынка Кыргызской Республики</w:t>
      </w:r>
    </w:p>
    <w:p>
      <w:pPr>
        <w:spacing w:after="240" w:before="200"/>
        <w:jc w:val="center"/>
      </w:pPr>
      <w:r>
        <w:rPr>
          <w:rFonts w:ascii="Arial" w:cs="Arial" w:eastAsia="Arial" w:hAnsi="Arial"/>
          <w:b/>
          <w:bCs/>
          <w:sz w:val="32"/>
          <w:szCs w:val="32"/>
        </w:rPr>
        <w:t xml:space="preserve">Глава 1. Рынок ценных бумаг</w:t>
      </w:r>
    </w:p>
    <w:p>
      <w:pPr>
        <w:spacing w:after="120"/>
        <w:jc w:val="both"/>
      </w:pPr>
      <w:r>
        <w:rPr>
          <w:rFonts w:ascii="Arial" w:cs="Arial" w:eastAsia="Arial" w:hAnsi="Arial"/>
          <w:sz w:val="24"/>
          <w:szCs w:val="24"/>
        </w:rPr>
        <w:t xml:space="preserve">В настоящее время в Кыргызской Республике имеется достаточно проработанная институциональная и законодательная база для функционирования финансовой системы, сформирована и продолжает развиваться инфраструктура рынка ценных бумаг, отвечающая общепринятым международным стандартам.</w:t>
      </w:r>
    </w:p>
    <w:p>
      <w:pPr>
        <w:spacing w:after="120"/>
        <w:jc w:val="left"/>
      </w:pPr>
      <w:r>
        <w:rPr>
          <w:rFonts w:ascii="Arial" w:cs="Arial" w:eastAsia="Arial" w:hAnsi="Arial"/>
          <w:sz w:val="24"/>
          <w:szCs w:val="24"/>
        </w:rPr>
        <w:t xml:space="preserve">На национальном фондовом рынке представлены практически все виды профессиональной деятельности, которые классически существуют на развитых рынках. На 1 января 2021 года профессиональную деятельность на рынке ценных бумаг осуществляли 67 юридических лица, которым выдано 104 лицензий.</w:t>
      </w:r>
    </w:p>
    <w:p>
      <w:pPr>
        <w:spacing w:after="120"/>
        <w:jc w:val="left"/>
      </w:pPr>
      <w:r>
        <w:rPr>
          <w:rFonts w:ascii="Arial" w:cs="Arial" w:eastAsia="Arial" w:hAnsi="Arial"/>
          <w:sz w:val="24"/>
          <w:szCs w:val="24"/>
        </w:rPr>
        <w:t xml:space="preserve">В Едином государственном реестре ценных бумаг на 1 января 2021 года зарегистрировано всего 38 выпуска ценных бумаг эмитентов Кыргызской Республики. Общий объем эмиссии составил 10 042,7 млрд сомов, в том числе акций на сумму 9 092,7 млрд сомов, облигаций на сумму 950,0 млн сомов.</w:t>
      </w:r>
    </w:p>
    <w:p>
      <w:pPr>
        <w:spacing w:after="120"/>
        <w:jc w:val="both"/>
      </w:pPr>
      <w:r>
        <w:rPr>
          <w:rFonts w:ascii="Arial" w:cs="Arial" w:eastAsia="Arial" w:hAnsi="Arial"/>
          <w:sz w:val="24"/>
          <w:szCs w:val="24"/>
        </w:rPr>
        <w:t xml:space="preserve">Объем торгов с ценными бумагами на рынке ценных бумаг в 2020 году составил 11 830 783,06 млрд сомов, что в 1,9 раз больше, чем за 2019 год (2019 год – 6 073 948,15 млрд сомов).</w:t>
      </w:r>
    </w:p>
    <w:p>
      <w:pPr>
        <w:spacing w:after="120"/>
        <w:jc w:val="right"/>
      </w:pPr>
      <w:r>
        <w:rPr>
          <w:rFonts w:ascii="Arial" w:cs="Arial" w:eastAsia="Arial" w:hAnsi="Arial"/>
          <w:sz w:val="24"/>
          <w:szCs w:val="24"/>
        </w:rPr>
        <w:t xml:space="preserve">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биржевых сделок на первичном и вторичном рынках свидетельствует о том, что на 1 января 2021 года в структуре объема торгов преобладал объем сделок, совершенных на первичном рынке.</w:t>
      </w:r>
    </w:p>
    <w:p>
      <w:pPr>
        <w:spacing w:after="120"/>
        <w:jc w:val="left"/>
      </w:pPr>
      <w:r>
        <w:rPr>
          <w:rFonts w:ascii="Arial" w:cs="Arial" w:eastAsia="Arial" w:hAnsi="Arial"/>
          <w:sz w:val="24"/>
          <w:szCs w:val="24"/>
        </w:rPr>
        <w:t xml:space="preserve">Объем биржевых сделок на вторичном рынке ценных бумаг, характеризующий изменение в структуре собственников, составил 1 561,00 млн сомов или 1,7 % общего числа объема торгов. Количество заключенных сделок на вторичном рынке составило 1693.</w:t>
      </w:r>
    </w:p>
    <w:p>
      <w:pPr>
        <w:spacing w:after="120"/>
        <w:jc w:val="both"/>
      </w:pPr>
      <w:r>
        <w:rPr>
          <w:rFonts w:ascii="Arial" w:cs="Arial" w:eastAsia="Arial" w:hAnsi="Arial"/>
          <w:sz w:val="24"/>
          <w:szCs w:val="24"/>
        </w:rPr>
        <w:t xml:space="preserve">Объем биржевых сделок на первичном рынке, за счет которого происходит привлечение финансовых ресурсов или перераспределение инвестиционного капитала, составил 7 044,00 млн сомов или 44,8 % общего числа объема торгов. Количество заключенных сделок на первичном рынке составило 1033.</w:t>
      </w:r>
    </w:p>
    <w:p>
      <w:pPr>
        <w:spacing w:after="120"/>
        <w:jc w:val="both"/>
      </w:pPr>
      <w:r>
        <w:rPr>
          <w:rFonts w:ascii="Arial" w:cs="Arial" w:eastAsia="Arial" w:hAnsi="Arial"/>
          <w:sz w:val="24"/>
          <w:szCs w:val="24"/>
        </w:rPr>
        <w:t xml:space="preserve">Объем внебиржевого рынка составил 6,995 млрд сомов или 53,5 % общего объема торгов. Количество заключенных сделок на внебиржевом рынке составило 859</w:t>
      </w:r>
    </w:p>
    <w:p>
      <w:pPr>
        <w:spacing w:after="120"/>
        <w:jc w:val="right"/>
      </w:pPr>
      <w:r>
        <w:rPr>
          <w:rFonts w:ascii="Arial" w:cs="Arial" w:eastAsia="Arial" w:hAnsi="Arial"/>
          <w:sz w:val="24"/>
          <w:szCs w:val="24"/>
        </w:rPr>
        <w:t xml:space="preserve">Диаграмма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диаграмме, за последний 5-летний период развития на фондовой бирже объемы торгов листинговыми ценными бумагами превышают объемы торгов не листинговых. Объем торгов в секторе листинга в 2020 году составил 4 724,05 млн сомов.</w:t>
      </w:r>
    </w:p>
    <w:p>
      <w:pPr>
        <w:spacing w:after="120"/>
        <w:jc w:val="both"/>
      </w:pPr>
      <w:r>
        <w:rPr>
          <w:rFonts w:ascii="Arial" w:cs="Arial" w:eastAsia="Arial" w:hAnsi="Arial"/>
          <w:sz w:val="24"/>
          <w:szCs w:val="24"/>
        </w:rPr>
        <w:t xml:space="preserve">Следует отметить, что за последние пять лет особое место на фондовом рынке заняли корпоративные облигации, которые стали эффективным финансовым инструментом привлечения денежных средств отечественными компаниями. За 2017 год на торговой площадке ЗАО «Кыргызская фондовая биржа» совершено 607 сделок с корпоративными облигациями на сумму 636,6 млн сомов. За 2018 год на торговой площадке ЗАО «Кыргызская фондовая биржа» совершена 741 сделка с корпоративными облигациями на сумму 421,579 млн сомов. За 2019 год на торговой площадке ЗАО «Кыргызская фондовая биржа» совершено 1175 сделок с корпоративными облигациями на сумму 250,502 млн сомов, что на 40,8 % меньше показателя 2018 года.</w:t>
      </w:r>
    </w:p>
    <w:p>
      <w:pPr>
        <w:spacing w:after="120"/>
        <w:jc w:val="left"/>
      </w:pPr>
      <w:r>
        <w:rPr>
          <w:rFonts w:ascii="Arial" w:cs="Arial" w:eastAsia="Arial" w:hAnsi="Arial"/>
          <w:sz w:val="24"/>
          <w:szCs w:val="24"/>
        </w:rPr>
        <w:t xml:space="preserve">В 2018 году на рынке ценных бумаг был выпущен новый финансовый инструмент – ипотечные ценные бумаги. ОАО «Государственная ипотечная компания» осуществила эмиссию облигаций с ипотечным покрытием на сумму 200 млн сомов.</w:t>
      </w:r>
    </w:p>
    <w:p>
      <w:pPr>
        <w:spacing w:after="120"/>
        <w:jc w:val="both"/>
      </w:pPr>
      <w:r>
        <w:rPr>
          <w:rFonts w:ascii="Arial" w:cs="Arial" w:eastAsia="Arial" w:hAnsi="Arial"/>
          <w:sz w:val="24"/>
          <w:szCs w:val="24"/>
        </w:rPr>
        <w:t xml:space="preserve">За период 2015  ̶ 2019 гг. на фондовой бирже было зарегистрировано 38 сделок с государственными ценными бумагами (ГЦБ) на сумму 61,21 млн сомов, из них 30 сделок на сумму 33,94 млн сомов были проведены на первичном рынке, 8 сделок на сумму 27,27 млн сомов – на вторичном рынке.</w:t>
      </w:r>
    </w:p>
    <w:p>
      <w:pPr>
        <w:spacing w:after="120"/>
        <w:jc w:val="both"/>
      </w:pPr>
      <w:r>
        <w:rPr>
          <w:rFonts w:ascii="Arial" w:cs="Arial" w:eastAsia="Arial" w:hAnsi="Arial"/>
          <w:sz w:val="24"/>
          <w:szCs w:val="24"/>
        </w:rPr>
        <w:t xml:space="preserve">Бюджетная реформа, проводимая в стране, поставила ряд новых проблем и возможностей для местных органов управления и их бюджетов по привлечению финансовых средств через фондовый рынок для реализации проектов социально-экономического развития, обновления и модернизации муниципального хозяйства, развития инфраструктуры регионов. В этой связи одним из приоритетных направлений развития фондового рынка является необходимость становления на широкие рельсы процесса эмиссии и обращения муниципальных ценных бумаг.</w:t>
      </w:r>
    </w:p>
    <w:p>
      <w:pPr>
        <w:spacing w:after="120"/>
        <w:jc w:val="left"/>
      </w:pPr>
      <w:r>
        <w:rPr>
          <w:rFonts w:ascii="Arial" w:cs="Arial" w:eastAsia="Arial" w:hAnsi="Arial"/>
          <w:sz w:val="24"/>
          <w:szCs w:val="24"/>
        </w:rPr>
        <w:t xml:space="preserve">В этом направлении в 2011 году и 2013 году были проведены 3-й и 4-й транши эмиссий муниципальных облигаций мэрии г. Бишкек на сумму 260 млн сомов. Выпуск и размещение ценных бумаг через фондовую биржу состоялся успешно.</w:t>
      </w:r>
    </w:p>
    <w:p>
      <w:pPr>
        <w:spacing w:after="120"/>
        <w:jc w:val="both"/>
      </w:pPr>
      <w:r>
        <w:rPr>
          <w:rFonts w:ascii="Arial" w:cs="Arial" w:eastAsia="Arial" w:hAnsi="Arial"/>
          <w:sz w:val="24"/>
          <w:szCs w:val="24"/>
        </w:rPr>
        <w:t xml:space="preserve">Таким образом, анализ текущего состояния рынка ценных бумаг позволяет сделать вывод, что рынок ценных бумаг в стране функционирует полноценно. Однако, согласно статистическим данным, объем операций на рынке ценных бумаг пока незначителен, количество сделок и объем операций на рынке ценных бумаг значительно ниже, чем в других странах с переходной экономикой.</w:t>
      </w:r>
    </w:p>
    <w:p>
      <w:pPr>
        <w:spacing w:after="120"/>
        <w:jc w:val="both"/>
      </w:pPr>
      <w:r>
        <w:rPr>
          <w:rFonts w:ascii="Arial" w:cs="Arial" w:eastAsia="Arial" w:hAnsi="Arial"/>
          <w:sz w:val="24"/>
          <w:szCs w:val="24"/>
        </w:rPr>
        <w:t xml:space="preserve">Анализ проблем рынка ценных бумаг.</w:t>
      </w:r>
    </w:p>
    <w:p>
      <w:pPr>
        <w:spacing w:after="120"/>
        <w:jc w:val="both"/>
      </w:pPr>
      <w:r>
        <w:rPr>
          <w:rFonts w:ascii="Arial" w:cs="Arial" w:eastAsia="Arial" w:hAnsi="Arial"/>
          <w:sz w:val="24"/>
          <w:szCs w:val="24"/>
        </w:rPr>
        <w:t xml:space="preserve">Для рынка ценных бумаг Кыргызской Республики характерна высокая волатильность. Роль классического фондового рынка в финансировании инвестиций и экономическом развитии весьма ограничена, на нем доминируют банковские участники и практически отсутствуют розничные частные инвесторы.</w:t>
      </w:r>
    </w:p>
    <w:p>
      <w:pPr>
        <w:spacing w:after="120"/>
        <w:jc w:val="both"/>
      </w:pPr>
      <w:r>
        <w:rPr>
          <w:rFonts w:ascii="Arial" w:cs="Arial" w:eastAsia="Arial" w:hAnsi="Arial"/>
          <w:sz w:val="24"/>
          <w:szCs w:val="24"/>
        </w:rPr>
        <w:t xml:space="preserve">Слабое развитие рынка капитала и отсутствие прочного базиса институциональных инвесторов в лице страховых компаний и пенсионных фондов, имеющих в достаточном объеме финансовые средства для вложения их в ценные бумаги, низкий уровень использования возможностей инвестирования на рынке ввиду недостаточной финансовой грамотности населения по инструментам финансирования также ограничивают возможности финансового рынка по трансформации сбережений населения в долгосрочные инвестиции, необходимые для устойчивого роста экономики и повышения благосостояния граждан.</w:t>
      </w:r>
    </w:p>
    <w:p>
      <w:pPr>
        <w:spacing w:after="120"/>
        <w:jc w:val="both"/>
      </w:pPr>
      <w:r>
        <w:rPr>
          <w:rFonts w:ascii="Arial" w:cs="Arial" w:eastAsia="Arial" w:hAnsi="Arial"/>
          <w:sz w:val="24"/>
          <w:szCs w:val="24"/>
        </w:rPr>
        <w:t xml:space="preserve">Рынок не выполняет своей основной функции инструмента трансформации сбережений в инвестиции, отсутствуют рыночные методы ценообразования, недостаточная заинтересованность эмитентов в выходе на открытый рынок капиталов, стремление удерживать крупные пакеты акций в собственности эмитентов, непонимание возможностей рынка по мобилизации капиталов.</w:t>
      </w:r>
    </w:p>
    <w:p>
      <w:pPr>
        <w:spacing w:after="120"/>
        <w:jc w:val="both"/>
      </w:pPr>
      <w:r>
        <w:rPr>
          <w:rFonts w:ascii="Arial" w:cs="Arial" w:eastAsia="Arial" w:hAnsi="Arial"/>
          <w:sz w:val="24"/>
          <w:szCs w:val="24"/>
        </w:rPr>
        <w:t xml:space="preserve">В настоящее время сложилась ситуация, когда ценные бумаги подавляющего большинства компаний являются неликвидными и практически не торгуются на бирже. В то же время высоколиквидные ценные бумаги передовых эмитентов республики, стабильно выплачивающих дивиденды, на рынке отсутствуют. Причина - «крупные» акционеры таких эмитентов (государство как акционер не исключение) в целях недопущения снижения эффективности управления предприятием остерегаются выпускать акции и реализовывать их широкому кругу инвесторов.</w:t>
      </w:r>
    </w:p>
    <w:p>
      <w:pPr>
        <w:spacing w:after="120"/>
        <w:jc w:val="both"/>
      </w:pPr>
      <w:r>
        <w:rPr>
          <w:rFonts w:ascii="Arial" w:cs="Arial" w:eastAsia="Arial" w:hAnsi="Arial"/>
          <w:sz w:val="24"/>
          <w:szCs w:val="24"/>
        </w:rPr>
        <w:t xml:space="preserve">На фондовом рынке отсутствуют широкомасштабные IPO крупных компаний и интересные для широкого круга населения финансовые инструменты. Это способствует тому, что сбережения граждан инвестируются, преимущественно, в краткосрочные банковские депозиты или иностранные валюты.</w:t>
      </w:r>
    </w:p>
    <w:p>
      <w:pPr>
        <w:spacing w:after="120"/>
        <w:jc w:val="both"/>
      </w:pPr>
      <w:r>
        <w:rPr>
          <w:rFonts w:ascii="Arial" w:cs="Arial" w:eastAsia="Arial" w:hAnsi="Arial"/>
          <w:sz w:val="24"/>
          <w:szCs w:val="24"/>
        </w:rPr>
        <w:t xml:space="preserve">Несмотря на то, что в период 2016  ̶ 2019 гг. была проведена значительная работа по совершенствованию законодательства в сфере рынка ценных бумаг и развитию рынка ценных бумаг, в результате которой создана нормативная правовая база для выпуска и обращения на фондовом рынке новых финансовых инструментов, таких как: облигации, обеспеченные золотом, долговые эмиссионные ценные бумаги, обеспеченные залогом, производные финансовые инструменты (опционы, варранты, фьючерсы, форварды, складские свидетельства), ипотечные ценные бумаги, исламские ценные бумаги, на фондовой бирже отсутствуют ценные бумаги под конкретные доходные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Ломбардная деятельность</w:t>
      </w:r>
    </w:p>
    <w:p>
      <w:pPr>
        <w:spacing w:after="120"/>
        <w:jc w:val="both"/>
      </w:pPr>
      <w:r>
        <w:rPr>
          <w:rFonts w:ascii="Arial" w:cs="Arial" w:eastAsia="Arial" w:hAnsi="Arial"/>
          <w:sz w:val="24"/>
          <w:szCs w:val="24"/>
        </w:rPr>
        <w:t xml:space="preserve">В настоящее время ломбардная деятельность по своей сути  ̶ первая ступень в финансовом секторе для получения быстрых, но небольших по своему объему краткосрочных займов, которыми граждане пользуются при необходимости изыскания наличных денежных средств для своих потребительских нужд.</w:t>
      </w:r>
    </w:p>
    <w:p>
      <w:pPr>
        <w:spacing w:after="120"/>
        <w:jc w:val="left"/>
      </w:pPr>
      <w:r>
        <w:rPr>
          <w:rFonts w:ascii="Arial" w:cs="Arial" w:eastAsia="Arial" w:hAnsi="Arial"/>
          <w:sz w:val="24"/>
          <w:szCs w:val="24"/>
        </w:rPr>
        <w:t xml:space="preserve">В соответствии со статьей 15 Закона Кыргызской Республики «О лицензионно-разрешительной деятельности в Кыргызской Республике» деятельность ломбардов на территории Кыргызской Республики подлежит лицензированию. Вместе с тем, согласно статье 3 Закона Кыргызской Республики «О деятельности ломбардов», лицензирование деятельности ломбардов осуществляется в соответствии с законодательством в сфере лицензионно-разрешительной системы в Кыргызской Республике. Лицензиаром является орган, уполномоченный Правительством Кыргызской Республики. В соответствии с постановлением Правительства Кыргызской Республики «О вопросах ломбардной деятельности» от 8 июня 2017 года № 353 Государственная служба регулирования и надзора за финансовым рынком при Министерстве экономики и финансов Кыргызской Республики определена лицензиаром, осуществляющим лицензирование ломбардной деятельности.</w:t>
      </w:r>
    </w:p>
    <w:p>
      <w:pPr>
        <w:spacing w:after="120"/>
        <w:jc w:val="both"/>
      </w:pPr>
      <w:r>
        <w:rPr>
          <w:rFonts w:ascii="Arial" w:cs="Arial" w:eastAsia="Arial" w:hAnsi="Arial"/>
          <w:sz w:val="24"/>
          <w:szCs w:val="24"/>
        </w:rPr>
        <w:t xml:space="preserve">Ломбарды при выдаче займа в залог принимают движимое имущество (малогабаритное имущество, крупногабаритное имущество). Малогабаритное имущество ювелирные изделия, а также другое движимое имущество, которое хранится в несгораемых сейфах ломбарда, установленных на территории ломбарда, крупногабаритное имущество движимое имущество, которое хранится на территории ломбарда (автомашины и другое крупное имущество).</w:t>
      </w:r>
    </w:p>
    <w:p>
      <w:pPr>
        <w:spacing w:after="120"/>
        <w:jc w:val="both"/>
      </w:pPr>
      <w:r>
        <w:rPr>
          <w:rFonts w:ascii="Arial" w:cs="Arial" w:eastAsia="Arial" w:hAnsi="Arial"/>
          <w:sz w:val="24"/>
          <w:szCs w:val="24"/>
        </w:rPr>
        <w:t xml:space="preserve">На территории Кыргызской Республики насчитывается 352 ломбардов. По состоянию на 1 марта 2021 года, Государственной службой регулирования и надзора за финансовым рынком при Министерстве экономики и финансов Кыргызской Республики выдано 352 лицензий: в г. Бишкек – 146, в Джалал-Абадской области – 26, в Ошской – 62, в Чуйской – 39, в Нарынской – 15, в Иссык-Кульской – 43, в Баткенской – 3, в Таласской – 18.</w:t>
      </w:r>
    </w:p>
    <w:p>
      <w:pPr>
        <w:spacing w:after="120"/>
        <w:jc w:val="right"/>
      </w:pPr>
      <w:r>
        <w:rPr>
          <w:rFonts w:ascii="Arial" w:cs="Arial" w:eastAsia="Arial" w:hAnsi="Arial"/>
          <w:sz w:val="24"/>
          <w:szCs w:val="24"/>
        </w:rPr>
        <w:t xml:space="preserve">Диаграмма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Законодательством Кыргызской Республики о ломбардной деятельности не установлен размер предельно допустимого процента на займ, выдаваемый ломбардами. Процентная ставка на выдаваемую сумму устанавливается в договоре займа, который составляется между ломбардом и заемщиком. Многие ломбарды процентную ставку на выдаваемую сумму займа устанавливают на свое усмотрение либо исходя из рыночной ситуации. В настоящее время ломбардами установлена процентная ставка в размере 0,17 % в день.</w:t>
      </w:r>
    </w:p>
    <w:p>
      <w:pPr>
        <w:spacing w:after="120"/>
        <w:jc w:val="both"/>
      </w:pPr>
      <w:r>
        <w:rPr>
          <w:rFonts w:ascii="Arial" w:cs="Arial" w:eastAsia="Arial" w:hAnsi="Arial"/>
          <w:sz w:val="24"/>
          <w:szCs w:val="24"/>
        </w:rPr>
        <w:t xml:space="preserve">Статьей 1 Закона Кыргызской Республики «Об ограничении ростовщической деятельности в Кыргызской Республике» предусмотрено, что данный Закон распространяется на кредиторов физических и юридических лиц, выдающих займы и кредиты в долг под проценты и подпадающих под определение ростовщической деятельности, независимо от их форм собственности.</w:t>
      </w:r>
    </w:p>
    <w:p>
      <w:pPr>
        <w:spacing w:after="120"/>
        <w:jc w:val="both"/>
      </w:pPr>
      <w:r>
        <w:rPr>
          <w:rFonts w:ascii="Arial" w:cs="Arial" w:eastAsia="Arial" w:hAnsi="Arial"/>
          <w:sz w:val="24"/>
          <w:szCs w:val="24"/>
        </w:rPr>
        <w:t xml:space="preserve">Вместе с тем, статья 6 данного Закона предусматривает ограничение процентных ставок. В данной статье определено, что размер предельно допустимого процента рассчитывается исходя из средневзвешенной номинальной процентной ставки, определяемой Национальным банком Кыргызской Республики, к которой добавляется 15 процентов.</w:t>
      </w:r>
    </w:p>
    <w:p>
      <w:pPr>
        <w:spacing w:after="120"/>
        <w:jc w:val="both"/>
      </w:pPr>
      <w:r>
        <w:rPr>
          <w:rFonts w:ascii="Arial" w:cs="Arial" w:eastAsia="Arial" w:hAnsi="Arial"/>
          <w:sz w:val="24"/>
          <w:szCs w:val="24"/>
        </w:rPr>
        <w:t xml:space="preserve">Средневзвешенная номинальная процентная ставка по действующим кредитам банков и иных финансово-кредитных учреждений, лицензируемых и регулируемых Национальным банком Кыргызской Республики, рассчитывается Национальным банком Кыргызской Республики на полугодовой основе и публикуется на официальном сайте.</w:t>
      </w:r>
    </w:p>
    <w:p>
      <w:pPr>
        <w:spacing w:after="120"/>
        <w:jc w:val="both"/>
      </w:pPr>
      <w:r>
        <w:rPr>
          <w:rFonts w:ascii="Arial" w:cs="Arial" w:eastAsia="Arial" w:hAnsi="Arial"/>
          <w:sz w:val="24"/>
          <w:szCs w:val="24"/>
        </w:rPr>
        <w:t xml:space="preserve">На 1 июля 2020 года средневзвешенная номинальная процентная ставка определена в размере 16,4 %. Если к этой сумме добавить 15 %, то в итоге предельно допустимый процент по займам и кредитам составит 31,4 %. Тем самым, размер предельно допустимого процента по займам и кредитам составляет 31,4 %. Следовательно, ломбарды также подпадают под действие данного Закона.</w:t>
      </w:r>
    </w:p>
    <w:p>
      <w:pPr>
        <w:spacing w:after="120"/>
        <w:jc w:val="both"/>
      </w:pPr>
      <w:r>
        <w:rPr>
          <w:rFonts w:ascii="Arial" w:cs="Arial" w:eastAsia="Arial" w:hAnsi="Arial"/>
          <w:sz w:val="24"/>
          <w:szCs w:val="24"/>
        </w:rPr>
        <w:t xml:space="preserve">Однако при расчете средневзвешенной номинальной процентной ставки, Национальный банк Кыргызской Республики определяет предельно допустимый процент по действующим кредитам банков и иных финансово-кредитных учреждений, лицензируемых и регулируемых Национальным банком Кыргызской Республики. Принимая во внимание, что деятельность ломбардов лицензируется Государственной службой регулирования и надзора за финансовым рынком при Министерстве экономики и финансов Кыргызской Республики, а не Национальным банком Кыргызской Республики, отмечаем частичное распространение норм Закона Кыргызской Республики «Об ограничении ростовщической деятельности в Кыргызской Республике» на деятельность ломбардов.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Страховая деятельность</w:t>
      </w:r>
    </w:p>
    <w:p>
      <w:pPr>
        <w:spacing w:after="120"/>
        <w:jc w:val="both"/>
      </w:pPr>
      <w:r>
        <w:rPr>
          <w:rFonts w:ascii="Arial" w:cs="Arial" w:eastAsia="Arial" w:hAnsi="Arial"/>
          <w:sz w:val="24"/>
          <w:szCs w:val="24"/>
        </w:rPr>
        <w:t xml:space="preserve">Формирование и становление национального страхового рынка после обретения независимости Кыргызской Республикой проходило в сложных условиях. За эти годы страховыми организациями приобретен определенный опыт в осуществлении страхования и перестрахования. В настоящее время страховой рынок Кыргызской Республики существенно изменился и продолжает меняться, появляются новые страховые компании и развивается его инфраструктура.</w:t>
      </w:r>
    </w:p>
    <w:p>
      <w:pPr>
        <w:spacing w:after="120"/>
        <w:jc w:val="both"/>
      </w:pPr>
      <w:r>
        <w:rPr>
          <w:rFonts w:ascii="Arial" w:cs="Arial" w:eastAsia="Arial" w:hAnsi="Arial"/>
          <w:sz w:val="24"/>
          <w:szCs w:val="24"/>
        </w:rPr>
        <w:t xml:space="preserve">По состоянию на 1 января 2021 года, в Кыргызской Республике осуществляют деятельность 16 страховых (перестраховочных) организаций, из них:</w:t>
      </w:r>
    </w:p>
    <w:p>
      <w:pPr>
        <w:spacing w:after="120"/>
        <w:jc w:val="both"/>
      </w:pPr>
      <w:r>
        <w:rPr>
          <w:rFonts w:ascii="Arial" w:cs="Arial" w:eastAsia="Arial" w:hAnsi="Arial"/>
          <w:sz w:val="24"/>
          <w:szCs w:val="24"/>
        </w:rPr>
        <w:t xml:space="preserve">- 11 организаций со 100 % кыргызским капиталом;</w:t>
      </w:r>
    </w:p>
    <w:p>
      <w:pPr>
        <w:spacing w:after="120"/>
        <w:jc w:val="both"/>
      </w:pPr>
      <w:r>
        <w:rPr>
          <w:rFonts w:ascii="Arial" w:cs="Arial" w:eastAsia="Arial" w:hAnsi="Arial"/>
          <w:sz w:val="24"/>
          <w:szCs w:val="24"/>
        </w:rPr>
        <w:t xml:space="preserve">- 5 организаций с участием нерезидентов.</w:t>
      </w:r>
    </w:p>
    <w:p>
      <w:pPr>
        <w:spacing w:after="120"/>
        <w:jc w:val="right"/>
      </w:pPr>
      <w:r>
        <w:rPr>
          <w:rFonts w:ascii="Arial" w:cs="Arial" w:eastAsia="Arial" w:hAnsi="Arial"/>
          <w:sz w:val="24"/>
          <w:szCs w:val="24"/>
        </w:rPr>
        <w:t xml:space="preserve">Диаграмма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w:t>
      </w:r>
      <w:r>
        <w:rPr>
          <w:rFonts w:ascii="Arial" w:cs="Arial" w:eastAsia="Arial" w:hAnsi="Arial"/>
          <w:b/>
          <w:bCs/>
          <w:sz w:val="24"/>
          <w:szCs w:val="24"/>
        </w:rPr>
        <w:t xml:space="preserve">объем страховых премий </w:t>
      </w:r>
      <w:r>
        <w:rPr>
          <w:rFonts w:ascii="Arial" w:cs="Arial" w:eastAsia="Arial" w:hAnsi="Arial"/>
          <w:sz w:val="24"/>
          <w:szCs w:val="24"/>
        </w:rPr>
        <w:t xml:space="preserve">составил 1 млрд 332 млн сомов, в том числе:</w:t>
      </w:r>
    </w:p>
    <w:p>
      <w:pPr>
        <w:spacing w:after="120"/>
        <w:jc w:val="both"/>
      </w:pPr>
      <w:r>
        <w:rPr>
          <w:rFonts w:ascii="Arial" w:cs="Arial" w:eastAsia="Arial" w:hAnsi="Arial"/>
          <w:sz w:val="24"/>
          <w:szCs w:val="24"/>
        </w:rPr>
        <w:t xml:space="preserve">- по личному страхованию – 179 млн 944 тыс. сомов;</w:t>
      </w:r>
    </w:p>
    <w:p>
      <w:pPr>
        <w:spacing w:after="120"/>
        <w:jc w:val="both"/>
      </w:pPr>
      <w:r>
        <w:rPr>
          <w:rFonts w:ascii="Arial" w:cs="Arial" w:eastAsia="Arial" w:hAnsi="Arial"/>
          <w:sz w:val="24"/>
          <w:szCs w:val="24"/>
        </w:rPr>
        <w:t xml:space="preserve">- по имущественному страхованию – 844 млн 24 тыс. сомов;</w:t>
      </w:r>
    </w:p>
    <w:p>
      <w:pPr>
        <w:spacing w:after="120"/>
        <w:jc w:val="both"/>
      </w:pPr>
      <w:r>
        <w:rPr>
          <w:rFonts w:ascii="Arial" w:cs="Arial" w:eastAsia="Arial" w:hAnsi="Arial"/>
          <w:sz w:val="24"/>
          <w:szCs w:val="24"/>
        </w:rPr>
        <w:t xml:space="preserve">- по страхованию ответственности – 106 млн 828 тыс. сомов;</w:t>
      </w:r>
    </w:p>
    <w:p>
      <w:pPr>
        <w:spacing w:after="120"/>
        <w:jc w:val="both"/>
      </w:pPr>
      <w:r>
        <w:rPr>
          <w:rFonts w:ascii="Arial" w:cs="Arial" w:eastAsia="Arial" w:hAnsi="Arial"/>
          <w:sz w:val="24"/>
          <w:szCs w:val="24"/>
        </w:rPr>
        <w:t xml:space="preserve">- по обязательным видам страхования – 201 млн 917 тыс. сомов;</w:t>
      </w:r>
    </w:p>
    <w:p>
      <w:pPr>
        <w:spacing w:after="120"/>
        <w:jc w:val="both"/>
      </w:pPr>
      <w:r>
        <w:rPr>
          <w:rFonts w:ascii="Arial" w:cs="Arial" w:eastAsia="Arial" w:hAnsi="Arial"/>
          <w:sz w:val="24"/>
          <w:szCs w:val="24"/>
        </w:rPr>
        <w:t xml:space="preserve">- по страхованию жизни объем страховых премий – 20 тыс. сомов.</w:t>
      </w:r>
    </w:p>
    <w:p>
      <w:pPr>
        <w:spacing w:after="120"/>
        <w:jc w:val="both"/>
      </w:pPr>
      <w:r>
        <w:rPr>
          <w:rFonts w:ascii="Arial" w:cs="Arial" w:eastAsia="Arial" w:hAnsi="Arial"/>
          <w:sz w:val="24"/>
          <w:szCs w:val="24"/>
        </w:rPr>
        <w:t xml:space="preserve">Такая ситуация свидетельствует о том, что пока еще отдаются предпочтения классическим видам страхования, несмотря на то, что правовое поле обеспечивает использование и других видов страхования, а национальные страховщики предлагают достаточно разнообразные страховые услуги.</w:t>
      </w:r>
    </w:p>
    <w:p>
      <w:pPr>
        <w:spacing w:after="120"/>
        <w:jc w:val="both"/>
      </w:pPr>
      <w:r>
        <w:rPr>
          <w:rFonts w:ascii="Arial" w:cs="Arial" w:eastAsia="Arial" w:hAnsi="Arial"/>
          <w:b/>
          <w:bCs/>
          <w:sz w:val="24"/>
          <w:szCs w:val="24"/>
        </w:rPr>
        <w:t xml:space="preserve">Финансовые показатели</w:t>
      </w:r>
      <w:r>
        <w:rPr>
          <w:rFonts w:ascii="Arial" w:cs="Arial" w:eastAsia="Arial" w:hAnsi="Arial"/>
          <w:sz w:val="24"/>
          <w:szCs w:val="24"/>
        </w:rPr>
        <w:t xml:space="preserve"> страховых организаций, по состоянию на 1 января 2020 года:</w:t>
      </w:r>
    </w:p>
    <w:p>
      <w:pPr>
        <w:spacing w:after="120"/>
        <w:jc w:val="both"/>
      </w:pPr>
      <w:r>
        <w:rPr>
          <w:rFonts w:ascii="Arial" w:cs="Arial" w:eastAsia="Arial" w:hAnsi="Arial"/>
          <w:sz w:val="24"/>
          <w:szCs w:val="24"/>
        </w:rPr>
        <w:t xml:space="preserve">совокупные активы  ̶ 4 млрд 859 млн сомов;</w:t>
      </w:r>
    </w:p>
    <w:p>
      <w:pPr>
        <w:spacing w:after="120"/>
        <w:jc w:val="both"/>
      </w:pPr>
      <w:r>
        <w:rPr>
          <w:rFonts w:ascii="Arial" w:cs="Arial" w:eastAsia="Arial" w:hAnsi="Arial"/>
          <w:sz w:val="24"/>
          <w:szCs w:val="24"/>
        </w:rPr>
        <w:t xml:space="preserve">совокупный собственный капитал – 3 млрд 707 млн сомов;</w:t>
      </w:r>
    </w:p>
    <w:p>
      <w:pPr>
        <w:spacing w:after="120"/>
        <w:jc w:val="both"/>
      </w:pPr>
      <w:r>
        <w:rPr>
          <w:rFonts w:ascii="Arial" w:cs="Arial" w:eastAsia="Arial" w:hAnsi="Arial"/>
          <w:sz w:val="24"/>
          <w:szCs w:val="24"/>
        </w:rPr>
        <w:t xml:space="preserve">обязательства – 1 млрд 184 млн сомов;</w:t>
      </w:r>
    </w:p>
    <w:p>
      <w:pPr>
        <w:spacing w:after="120"/>
        <w:jc w:val="both"/>
      </w:pPr>
      <w:r>
        <w:rPr>
          <w:rFonts w:ascii="Arial" w:cs="Arial" w:eastAsia="Arial" w:hAnsi="Arial"/>
          <w:sz w:val="24"/>
          <w:szCs w:val="24"/>
        </w:rPr>
        <w:t xml:space="preserve">объем страховых резервов перестраховочных компаний – 787 млн 404 тыс. сомов.</w:t>
      </w:r>
    </w:p>
    <w:p>
      <w:pPr>
        <w:spacing w:after="120"/>
        <w:jc w:val="both"/>
      </w:pPr>
      <w:r>
        <w:rPr>
          <w:rFonts w:ascii="Arial" w:cs="Arial" w:eastAsia="Arial" w:hAnsi="Arial"/>
          <w:b/>
          <w:bCs/>
          <w:sz w:val="24"/>
          <w:szCs w:val="24"/>
        </w:rPr>
        <w:t xml:space="preserve">Анализ проблем страхового рынка</w:t>
      </w:r>
    </w:p>
    <w:p>
      <w:pPr>
        <w:spacing w:after="120"/>
        <w:jc w:val="both"/>
      </w:pPr>
      <w:r>
        <w:rPr>
          <w:rFonts w:ascii="Arial" w:cs="Arial" w:eastAsia="Arial" w:hAnsi="Arial"/>
          <w:b/>
          <w:bCs/>
          <w:sz w:val="24"/>
          <w:szCs w:val="24"/>
        </w:rPr>
        <w:t xml:space="preserve">Отсутствие массовых видов страхования.</w:t>
      </w:r>
      <w:r>
        <w:rPr>
          <w:rFonts w:ascii="Arial" w:cs="Arial" w:eastAsia="Arial" w:hAnsi="Arial"/>
          <w:sz w:val="24"/>
          <w:szCs w:val="24"/>
        </w:rPr>
        <w:t xml:space="preserve"> Во многих странах мира страховой сектор получил развитие после введения массовых видов обязательного страхования, например таких, как обязательное страхование ответственности владельцев автотранспортных средств. Однако до настоящего времени обязательное страхование автотранспортных средств не введено в Кыргызской Республике, несмотря на то, что соответствующий закон был принят в 2015 году. Ожидаемое введение обязательного страхования автотранспорта в 2021 году даст толчок к развитию страхового рынка в целом, в первую очередь за счет массовости.</w:t>
      </w:r>
    </w:p>
    <w:p>
      <w:pPr>
        <w:spacing w:after="120"/>
        <w:jc w:val="both"/>
      </w:pPr>
      <w:r>
        <w:rPr>
          <w:rFonts w:ascii="Arial" w:cs="Arial" w:eastAsia="Arial" w:hAnsi="Arial"/>
          <w:b/>
          <w:bCs/>
          <w:sz w:val="24"/>
          <w:szCs w:val="24"/>
        </w:rPr>
        <w:t xml:space="preserve">Отсутствие системы подготовки специалистов в области экономико-математических расчетов страховых обязательств (актуариев).</w:t>
      </w:r>
      <w:r>
        <w:rPr>
          <w:rFonts w:ascii="Arial" w:cs="Arial" w:eastAsia="Arial" w:hAnsi="Arial"/>
          <w:sz w:val="24"/>
          <w:szCs w:val="24"/>
        </w:rPr>
        <w:t xml:space="preserve"> В настоящее время все страховые организации испытывают серьезные трудности с обеспечением профессионально подготовленными кадрами, отвечающими современным требованиям ведения страховых операций, об этом не раз заявлялось с самых разных трибун, а также в средствах массовой информации. В связи с этим необходима качественная подготовка квалифицированных кадров для страховой отрасли, для чего наряду с имеющимся профилем «Финансы и кредит», необходимо рекомендовать и использовать дополнительный профиль «Страховое дело» («Страхование»), при этом обучение осуществлять в учебных заведениях среднего и высшего профессионального образования отобранных в качестве «пилотных», а также привлекающих к процессу обучения практикующих страховщиков.</w:t>
      </w:r>
    </w:p>
    <w:p>
      <w:pPr>
        <w:spacing w:after="120"/>
        <w:jc w:val="both"/>
      </w:pPr>
      <w:r>
        <w:rPr>
          <w:rFonts w:ascii="Arial" w:cs="Arial" w:eastAsia="Arial" w:hAnsi="Arial"/>
          <w:sz w:val="24"/>
          <w:szCs w:val="24"/>
        </w:rPr>
        <w:t xml:space="preserve">Функционирование страхового рынка требует введения института актуариев или специалистов в области экономико-математического расчета страховых обязательств, определения соответствующих требований к уполномоченным аудиторам, оценщикам и другим специалистам, деятельность которых должна вестись согласно специально разработанным и принятым нормативным правовым актам.</w:t>
      </w:r>
    </w:p>
    <w:p>
      <w:pPr>
        <w:spacing w:after="120"/>
        <w:jc w:val="both"/>
      </w:pPr>
      <w:r>
        <w:rPr>
          <w:rFonts w:ascii="Arial" w:cs="Arial" w:eastAsia="Arial" w:hAnsi="Arial"/>
          <w:sz w:val="24"/>
          <w:szCs w:val="24"/>
        </w:rPr>
        <w:t xml:space="preserve">Профессия актуария является новой для Кыргызской Республики и до введения обязательных видов страхования не являлась актуальной. Действующие страховые компании обычно проводили обучение своих сотрудников в Российской Федерации и в Республике Казахстан, где уже созданы и функционируют учебные центры и проводятся курсы для актуариев. Для развития института актуариев необходимо внести изменения в нормативную правовую базу по лицензированию деятельности актуариев и оценщиков.</w:t>
      </w:r>
    </w:p>
    <w:p>
      <w:pPr>
        <w:spacing w:after="120"/>
        <w:jc w:val="both"/>
      </w:pPr>
      <w:r>
        <w:rPr>
          <w:rFonts w:ascii="Arial" w:cs="Arial" w:eastAsia="Arial" w:hAnsi="Arial"/>
          <w:b/>
          <w:bCs/>
          <w:sz w:val="24"/>
          <w:szCs w:val="24"/>
        </w:rPr>
        <w:t xml:space="preserve">Отсутствие надежных финансовых инструментов долгосрочного размещения страховых резервов.</w:t>
      </w:r>
      <w:r>
        <w:rPr>
          <w:rFonts w:ascii="Arial" w:cs="Arial" w:eastAsia="Arial" w:hAnsi="Arial"/>
          <w:sz w:val="24"/>
          <w:szCs w:val="24"/>
        </w:rPr>
        <w:t xml:space="preserve"> Аккумулируемые страховыми компаниями денежные средства необходимо инвестировать в долгосрочные высоколиквидные и доходные активы. Обычно в развитых странах страховые компании инвестируют свои резервы в государственные ценные бумаги, муниципальные облигации и займы, акции ведущих компаний с высокой доходностью и в недвижимость. Отсутствие на кыргызском фондовом рынке долгосрочных финансовых инструментов и невысокая доходность ценных бумаг отечественных компаний не дает возможности страховым организациям инвестировать страховые резервы более эффективно.</w:t>
      </w:r>
    </w:p>
    <w:p>
      <w:pPr>
        <w:spacing w:after="120"/>
        <w:jc w:val="both"/>
      </w:pPr>
      <w:r>
        <w:rPr>
          <w:rFonts w:ascii="Arial" w:cs="Arial" w:eastAsia="Arial" w:hAnsi="Arial"/>
          <w:sz w:val="24"/>
          <w:szCs w:val="24"/>
        </w:rPr>
        <w:t xml:space="preserve">До сих пор страховые организации основную долю страховых резервов и денежных средств размещают во вклады коммерческих банков (65 – 70 %), государственные ценные бумаги (25 – 27 %) и ценные бумаги акционерных обществ (3 – 5 %). Такое состояние инвестиционного портфеля страховых компаний свидетельствует о нерациональном размещении страховых резервов и наличии неиспользуемого инвестиционного потенциала. В настоящее время практически все страховые резервы размещены в краткосрочные вложения.</w:t>
      </w:r>
    </w:p>
    <w:p>
      <w:pPr>
        <w:spacing w:after="120"/>
        <w:jc w:val="both"/>
      </w:pPr>
      <w:r>
        <w:rPr>
          <w:rFonts w:ascii="Arial" w:cs="Arial" w:eastAsia="Arial" w:hAnsi="Arial"/>
          <w:b/>
          <w:bCs/>
          <w:sz w:val="24"/>
          <w:szCs w:val="24"/>
        </w:rPr>
        <w:t xml:space="preserve">Неразвитость национального перестраховочного рынка</w:t>
      </w:r>
      <w:r>
        <w:rPr>
          <w:rFonts w:ascii="Arial" w:cs="Arial" w:eastAsia="Arial" w:hAnsi="Arial"/>
          <w:sz w:val="24"/>
          <w:szCs w:val="24"/>
        </w:rPr>
        <w:t xml:space="preserve">. Неразвитость национального перестраховочного рынка приводит к оттоку значительных сумм страховой премии за границу ввиду объективной необходимости привлечения участия иностранных перестраховочных компаний к страхованию крупных рисков. В настоящее время страховые компании из-за отсутствия достаточной перестраховочной емкости в Кыргызской Республике оставляют лишь небольшую часть полученной страховой премии, а 70 процентов передают в зарубежные страховые компании. Должным образом развитая национальная система перестрахования рисков позволит страховщикам оставлять у себя большую часть страховых премий, не передавая их на перестрахование за рубеж, и увеличит сумму активов, инвестируемых в финансовые инструменты страны.</w:t>
      </w:r>
    </w:p>
    <w:p>
      <w:pPr>
        <w:spacing w:after="120"/>
        <w:jc w:val="both"/>
      </w:pPr>
      <w:r>
        <w:rPr>
          <w:rFonts w:ascii="Arial" w:cs="Arial" w:eastAsia="Arial" w:hAnsi="Arial"/>
          <w:sz w:val="24"/>
          <w:szCs w:val="24"/>
        </w:rPr>
        <w:t xml:space="preserve">При этом, несмотря на динамичное развитие страхового рынка Кыргызской Республики в последние годы, возможности принятия отечественными страховщиками рисков по страхованию, особенно крупных, остаются довольно ограниченными из-за низкой капитализации, т.к. многие страховые компании, выполняя условия надзорного органа, уже увеличили свой уставный капитал. В настоящее время перестрахование может являться одним из путей развития компаний и способом интеграции отечественного рынка страховых услуг в мировое страховое сообщество.</w:t>
      </w:r>
    </w:p>
    <w:p>
      <w:pPr>
        <w:spacing w:after="120"/>
        <w:jc w:val="both"/>
      </w:pPr>
      <w:r>
        <w:rPr>
          <w:rFonts w:ascii="Arial" w:cs="Arial" w:eastAsia="Arial" w:hAnsi="Arial"/>
          <w:b/>
          <w:bCs/>
          <w:sz w:val="24"/>
          <w:szCs w:val="24"/>
        </w:rPr>
        <w:t xml:space="preserve">Информационная закрытость рынка страховых услуг</w:t>
      </w:r>
      <w:r>
        <w:rPr>
          <w:rFonts w:ascii="Arial" w:cs="Arial" w:eastAsia="Arial" w:hAnsi="Arial"/>
          <w:sz w:val="24"/>
          <w:szCs w:val="24"/>
        </w:rPr>
        <w:t xml:space="preserve">, создающая проблемы для потенциальных страхователей в выборе устойчивых страховых организаций. Существующая проблема связана с тем, что страховые компании не ориентированы на работу с корпоративным сектором и не заинтересованы вкладывать финансовые ресурсы в продвижении розничных страховых продуктов.</w:t>
      </w:r>
    </w:p>
    <w:p>
      <w:pPr>
        <w:spacing w:after="120"/>
        <w:jc w:val="both"/>
      </w:pPr>
      <w:r>
        <w:rPr>
          <w:rFonts w:ascii="Arial" w:cs="Arial" w:eastAsia="Arial" w:hAnsi="Arial"/>
          <w:sz w:val="24"/>
          <w:szCs w:val="24"/>
        </w:rPr>
        <w:t xml:space="preserve">Низкий уровень финансовых возможностей отечественных страховых организаций по покрытию крупных убытков повышает требования к решению вопроса о дальнейшем повышении капитализации страховых организаций и их укрупнении. Это особенно актуально в преддверии вхождения кыргызского страхования в общий финансовый рынок государств-членов ЕАЭС.</w:t>
      </w:r>
    </w:p>
    <w:p>
      <w:pPr>
        <w:spacing w:after="120"/>
        <w:jc w:val="both"/>
      </w:pPr>
      <w:r>
        <w:rPr>
          <w:rFonts w:ascii="Arial" w:cs="Arial" w:eastAsia="Arial" w:hAnsi="Arial"/>
          <w:sz w:val="24"/>
          <w:szCs w:val="24"/>
        </w:rPr>
        <w:t xml:space="preserve">Актуальной проблемой является низкая активность населения в получении страховых услуг, т.к. оно ориентировано в большей мере на получение государственных социальных пособий, что также не способствует должному развитию страхования.</w:t>
      </w:r>
    </w:p>
    <w:p>
      <w:pPr>
        <w:spacing w:after="120"/>
        <w:jc w:val="both"/>
      </w:pPr>
      <w:r>
        <w:rPr>
          <w:rFonts w:ascii="Arial" w:cs="Arial" w:eastAsia="Arial" w:hAnsi="Arial"/>
          <w:sz w:val="24"/>
          <w:szCs w:val="24"/>
        </w:rPr>
        <w:t xml:space="preserve">Следует отметить, что до сих пор не отработана система широкого вовлечения в инвестиционный процесс средств населения, практически отсутствуют договоры долгосрочного страхования жизни, пенсий. Слабый спрос на соответствующие страховые услуги связан с наличием различного рода причин, например: невысокий уровень доходов населения; высокий уровень безработицы; нестабильная экономическая ситуация, низкая инвестиционная деятельность; незначительные имущественные ценности; низкий уровень страховой культуры населения; отсутствие доверия к страховым компаниям.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Аудиторская деятельность</w:t>
      </w:r>
    </w:p>
    <w:p>
      <w:pPr>
        <w:spacing w:after="120"/>
        <w:jc w:val="both"/>
      </w:pPr>
      <w:r>
        <w:rPr>
          <w:rFonts w:ascii="Arial" w:cs="Arial" w:eastAsia="Arial" w:hAnsi="Arial"/>
          <w:sz w:val="24"/>
          <w:szCs w:val="24"/>
        </w:rPr>
        <w:t xml:space="preserve">В условиях рыночных отношений объективно высока роль независимого аудита финансовой отчетности хозяйствующих субъектов.</w:t>
      </w:r>
    </w:p>
    <w:p>
      <w:pPr>
        <w:spacing w:after="120"/>
        <w:jc w:val="both"/>
      </w:pPr>
      <w:r>
        <w:rPr>
          <w:rFonts w:ascii="Arial" w:cs="Arial" w:eastAsia="Arial" w:hAnsi="Arial"/>
          <w:sz w:val="24"/>
          <w:szCs w:val="24"/>
        </w:rPr>
        <w:t xml:space="preserve">Это вызвано, прежде всего возникновением и расширением рынка потребителей финансовой отчетности, и необходимостью защиты интересов собственников.</w:t>
      </w:r>
    </w:p>
    <w:p>
      <w:pPr>
        <w:spacing w:after="120"/>
        <w:jc w:val="both"/>
      </w:pPr>
      <w:r>
        <w:rPr>
          <w:rFonts w:ascii="Arial" w:cs="Arial" w:eastAsia="Arial" w:hAnsi="Arial"/>
          <w:sz w:val="24"/>
          <w:szCs w:val="24"/>
        </w:rPr>
        <w:t xml:space="preserve">В отличие от действовавшей ранее и в настоящее время системы контроля со стороны государственных надзорных органов, основной целью аудита является выражение независимым от проверяемой организации лицом профессионального мнения о достоверности информации, содержащейся в финансовой отчетности.</w:t>
      </w:r>
    </w:p>
    <w:p>
      <w:pPr>
        <w:spacing w:after="120"/>
        <w:jc w:val="both"/>
      </w:pPr>
      <w:r>
        <w:rPr>
          <w:rFonts w:ascii="Arial" w:cs="Arial" w:eastAsia="Arial" w:hAnsi="Arial"/>
          <w:sz w:val="24"/>
          <w:szCs w:val="24"/>
        </w:rPr>
        <w:t xml:space="preserve">В условиях рынка предприятия, кредитные учреждения и другие хозяйствующие субъекты вступают в договорные отношения по использованию имущества, денежных средств, проведению коммерческих операций и инвестиций. Доверительность этих отношений должна подкрепляться возможностью для всех участников сделок получать и использовать финансовую информацию. Достоверность информации подтверждается независимым аудитором.</w:t>
      </w:r>
    </w:p>
    <w:p>
      <w:pPr>
        <w:spacing w:after="120"/>
        <w:jc w:val="both"/>
      </w:pPr>
      <w:r>
        <w:rPr>
          <w:rFonts w:ascii="Arial" w:cs="Arial" w:eastAsia="Arial" w:hAnsi="Arial"/>
          <w:sz w:val="24"/>
          <w:szCs w:val="24"/>
        </w:rPr>
        <w:t xml:space="preserve">Как известно, независимая аудиторская проверка главным образом направлена на защиту прав собственников, наряду с этим, такая деятельность необходима обществу и государству для развития экономики страны. Чтобы поднять экономику страны необходимы соответствующие источники финансирования, таким источником могут быть только вложенные капиталы в экономику или заработанный капитал в виде реинвестированной прибыли. Собственники, акционеры и инвесторы не будут вкладывать свои средства в экономику, пока у них не будет доверия, прозрачности, открытости, объективности и достоверности информации о хозяйственной деятельности экономических субъектов. Заслужить такое доверие общественности и собственников позволяет аудиторская проверка и публикация финансовой отчетности в средствах массовой информации.</w:t>
      </w:r>
    </w:p>
    <w:p>
      <w:pPr>
        <w:spacing w:after="120"/>
        <w:jc w:val="both"/>
      </w:pPr>
      <w:r>
        <w:rPr>
          <w:rFonts w:ascii="Arial" w:cs="Arial" w:eastAsia="Arial" w:hAnsi="Arial"/>
          <w:sz w:val="24"/>
          <w:szCs w:val="24"/>
        </w:rPr>
        <w:t xml:space="preserve">В настоящее время спектр аудиторских услуг по сравнению с услугами, предоставляемыми аудиторами в 2002 году, когда впервые регулирование аудиторской деятельности было предусмотрено законодательством Кыргызской Республики, существенно вырос. Также увеличилось количество субъектов аудиторской деятельности на рынке аудита Кыргызской Республики.</w:t>
      </w:r>
    </w:p>
    <w:p>
      <w:pPr>
        <w:spacing w:after="120"/>
        <w:jc w:val="both"/>
      </w:pPr>
      <w:r>
        <w:rPr>
          <w:rFonts w:ascii="Arial" w:cs="Arial" w:eastAsia="Arial" w:hAnsi="Arial"/>
          <w:sz w:val="24"/>
          <w:szCs w:val="24"/>
        </w:rPr>
        <w:t xml:space="preserve">В настоящее время в государственных реестрах аудиторских организаций, индивидуальных аудиторов и аудиторов Кыргызской Республики зарегистрировано: 125 аудиторских организаций, 36 индивидуальных аудиторов и 484 аудиторов. Стабильная тенденция к увеличению количества субъектов аудиторской деятельности наблюдается в период 2016 – 2019 годов.</w:t>
      </w:r>
    </w:p>
    <w:p>
      <w:pPr>
        <w:spacing w:after="120"/>
        <w:jc w:val="right"/>
      </w:pPr>
      <w:r>
        <w:rPr>
          <w:rFonts w:ascii="Arial" w:cs="Arial" w:eastAsia="Arial" w:hAnsi="Arial"/>
          <w:b/>
          <w:bCs/>
          <w:sz w:val="24"/>
          <w:szCs w:val="24"/>
        </w:rPr>
        <w:t xml:space="preserve">Диаграмма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2021 года количество аудиторов по сравнению с 2019 годом увеличилось на 14 единиц, количество индивидуальных аудиторов и аудиторских организаций остался без изменений.</w:t>
      </w:r>
    </w:p>
    <w:p>
      <w:pPr>
        <w:spacing w:after="120"/>
        <w:jc w:val="both"/>
      </w:pPr>
      <w:r>
        <w:rPr>
          <w:rFonts w:ascii="Arial" w:cs="Arial" w:eastAsia="Arial" w:hAnsi="Arial"/>
          <w:sz w:val="24"/>
          <w:szCs w:val="24"/>
        </w:rPr>
        <w:t xml:space="preserve">На рынке аудита Кыргызской Республики осуществляют аудиторскую деятельность представители 4-х международных аудиторских компаний, входящих в состав так называемой «Большой четверки»: ОсОО «Deloitte &amp; Touche» (Делойт и Туш), ОсОО «KPMG-Bishkek» (КПМГ-Бишкек), ОсОО «PricewaterhouseCoopers» (ПрайсуотерхаусКуперс) и ОсОО «Ernst &amp; Young» (Эрнст энд Янг), а также аудиторские организации, входящие в крупнейшие международные аудиторские сети, такие как: ОсОО «BakerTillyBishkek» (Бейкер Тили Бишкек), ОсОО «Grant Thornton» (Грант Торнтон), что свидетельствует о поступательном развитии рынка аудита в Кыргызской Республике.</w:t>
      </w:r>
    </w:p>
    <w:p>
      <w:pPr>
        <w:spacing w:after="120"/>
        <w:jc w:val="both"/>
      </w:pPr>
      <w:r>
        <w:rPr>
          <w:rFonts w:ascii="Arial" w:cs="Arial" w:eastAsia="Arial" w:hAnsi="Arial"/>
          <w:b/>
          <w:bCs/>
          <w:sz w:val="24"/>
          <w:szCs w:val="24"/>
        </w:rPr>
        <w:t xml:space="preserve">Проблема качества услуг, предоставляемых рынком аудита в Кыргызской Республике и конкурентоспособности большинства отечественных аудиторских организаций.</w:t>
      </w:r>
    </w:p>
    <w:p>
      <w:pPr>
        <w:spacing w:after="120"/>
        <w:jc w:val="both"/>
      </w:pPr>
      <w:r>
        <w:rPr>
          <w:rFonts w:ascii="Arial" w:cs="Arial" w:eastAsia="Arial" w:hAnsi="Arial"/>
          <w:sz w:val="24"/>
          <w:szCs w:val="24"/>
        </w:rPr>
        <w:t xml:space="preserve">Увеличение и развитие рынка аудита в количественном отношении, предоставляемых услуг и увеличение потребности хозяйствующих субъектов в качественном аудите породило острую необходимость организационно-правового регулирования отношений, возникающих при совершении различного рода хозяйственных операций, многие типы которых ранее не были известны либо представление о которых имелось исключительно на основании изучения зарубежного опыта. Отсутствие практики регулирования вновь возникших правоотношений в области аудита привело к возникновению в отечественной практике большого количества трудностей, недобросовестного осуществления деятельности, низких по качеству предоставляемых услуг аудиторами, конфликта интересов аудитора и аудируемого лица, нарушений принципа независимости, споров и вопросов, настоятельно требующих разработки регламентирующих мер и правил. </w:t>
      </w:r>
    </w:p>
    <w:p>
      <w:pPr>
        <w:spacing w:after="120"/>
        <w:jc w:val="both"/>
      </w:pPr>
      <w:r>
        <w:rPr>
          <w:rFonts w:ascii="Arial" w:cs="Arial" w:eastAsia="Arial" w:hAnsi="Arial"/>
          <w:sz w:val="24"/>
          <w:szCs w:val="24"/>
        </w:rPr>
        <w:t xml:space="preserve">Вместе с тем, отечественные аудиторские организации не имеют необходимых профессиональных кадровых ресурсов, системы внутреннего контроля качества и т.д., а отсутствие эффективного механизма правового регулирования, выверенной государственной стратегии развития аудита в нашей стране, особенно в рамках интеграции в ЕАЭС, ставит под сомнение потенциальную конкурентоспособность аудиторских организаций Кыргызской Республики, что в последующем чревато поглощением национального рынка компаниями с рынков более конкурентоспособных государств-членов ЕАЭС. </w:t>
      </w:r>
    </w:p>
    <w:p>
      <w:pPr>
        <w:spacing w:after="120"/>
        <w:jc w:val="both"/>
      </w:pPr>
      <w:r>
        <w:rPr>
          <w:rFonts w:ascii="Arial" w:cs="Arial" w:eastAsia="Arial" w:hAnsi="Arial"/>
          <w:sz w:val="24"/>
          <w:szCs w:val="24"/>
        </w:rPr>
        <w:t xml:space="preserve">В нынешних обстоятельствах немаловажно рассмотреть создание членской некоммерческой организации с самостоятельной организационно-правовой формой – профессионального аудиторского объединения, членство в котором будет обязательным для аудиторских организаций и аудиторов. Предполагается, что усилия профессионального аудиторского объединения будут направлены в первую очередь на повышение качества аудиторских услуг, что должно обеспечиваться системой контроля за аудиторской деятельностью.</w:t>
      </w:r>
    </w:p>
    <w:p>
      <w:pPr>
        <w:spacing w:after="120"/>
        <w:jc w:val="both"/>
      </w:pPr>
      <w:r>
        <w:rPr>
          <w:rFonts w:ascii="Arial" w:cs="Arial" w:eastAsia="Arial" w:hAnsi="Arial"/>
          <w:sz w:val="24"/>
          <w:szCs w:val="24"/>
        </w:rPr>
        <w:t xml:space="preserve">Профессиональное аудиторское объединение принимает меры ответственности за выявленные нарушения требований объединения в соответствии с порядком установленным его внутренними документами.</w:t>
      </w:r>
    </w:p>
    <w:p>
      <w:pPr>
        <w:spacing w:after="120"/>
        <w:jc w:val="both"/>
      </w:pPr>
      <w:r>
        <w:rPr>
          <w:rFonts w:ascii="Arial" w:cs="Arial" w:eastAsia="Arial" w:hAnsi="Arial"/>
          <w:sz w:val="24"/>
          <w:szCs w:val="24"/>
        </w:rPr>
        <w:t xml:space="preserve">К примеру, анализируя состояние контроля качества аудиторских услуг в государствах-членах ЕАЭС, целесообразно рассмотреть уровни, на которых осуществляют контроль государство, саморегулируемые профессиональные организации, субъекты аудиторской деятельности (на уровне отдельной аудиторской фирмы, на уровне профессии, на уровне отдельной аудиторской проверки).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Накопительные пенсионные фонды</w:t>
      </w:r>
    </w:p>
    <w:p>
      <w:pPr>
        <w:spacing w:after="120"/>
        <w:jc w:val="both"/>
      </w:pPr>
      <w:r>
        <w:rPr>
          <w:rFonts w:ascii="Arial" w:cs="Arial" w:eastAsia="Arial" w:hAnsi="Arial"/>
          <w:sz w:val="24"/>
          <w:szCs w:val="24"/>
        </w:rPr>
        <w:t xml:space="preserve">С 2010 года в процессе реформ пенсионная система была заменена с солидарной на смешанную, сочетающую распределительный и накопительный принципы. Таким образом, государство предоставило населению часть полномочий по формированию своей будущей трудовой пенсии, путем управления ее накопительной частью.</w:t>
      </w:r>
    </w:p>
    <w:p>
      <w:pPr>
        <w:spacing w:after="120"/>
        <w:jc w:val="both"/>
      </w:pPr>
      <w:r>
        <w:rPr>
          <w:rFonts w:ascii="Arial" w:cs="Arial" w:eastAsia="Arial" w:hAnsi="Arial"/>
          <w:sz w:val="24"/>
          <w:szCs w:val="24"/>
        </w:rPr>
        <w:t xml:space="preserve">Накопительные пенсионные фонды играют важную роль в развитии финансового рынка страны. Накопительные пенсионные фонды создаются с той целью, чтобы в будущем средства, которые поступают на счета застрахованных лиц, приносили инвестиционный доход и увеличивали размер их пенсии.</w:t>
      </w:r>
    </w:p>
    <w:p>
      <w:pPr>
        <w:spacing w:after="120"/>
        <w:jc w:val="both"/>
      </w:pPr>
      <w:r>
        <w:rPr>
          <w:rFonts w:ascii="Arial" w:cs="Arial" w:eastAsia="Arial" w:hAnsi="Arial"/>
          <w:sz w:val="24"/>
          <w:szCs w:val="24"/>
        </w:rPr>
        <w:t xml:space="preserve">Значительным преимуществом накопительного компонента перед солидарным является то, что вкладчик может сам контролировать и устанавливать размер своей будущей пенсии, возможность его изъятия в случае выезда на постоянное место жительство за пределы Кыргызской Республики имеющего пенсионные накопления, учтенные на его личном страховом счете в системе персонифицированного учета Социального фонда Кыргызской Республики, а также право наследования средств пенсионных накоплений в случае смерти застрахованного лица.</w:t>
      </w:r>
    </w:p>
    <w:p>
      <w:pPr>
        <w:spacing w:after="120"/>
        <w:jc w:val="both"/>
      </w:pPr>
      <w:r>
        <w:rPr>
          <w:rFonts w:ascii="Arial" w:cs="Arial" w:eastAsia="Arial" w:hAnsi="Arial"/>
          <w:sz w:val="24"/>
          <w:szCs w:val="24"/>
        </w:rPr>
        <w:t xml:space="preserve">В настоящее время застрахованные лица, формирующие или сформировавшие пенсионные накопления (далее – застрахованные лица), могут самостоятельно выбрать, кому доверить свои пенсионные накопления: накопительному пенсионному фонду или управляющей компании, или оставить свои пенсионные накопления в управлении Социальным фондом Кыргызской Республики.</w:t>
      </w:r>
    </w:p>
    <w:p>
      <w:pPr>
        <w:spacing w:after="120"/>
        <w:jc w:val="both"/>
      </w:pPr>
      <w:r>
        <w:rPr>
          <w:rFonts w:ascii="Arial" w:cs="Arial" w:eastAsia="Arial" w:hAnsi="Arial"/>
          <w:sz w:val="24"/>
          <w:szCs w:val="24"/>
        </w:rPr>
        <w:t xml:space="preserve">В настоящее время на рынке действуют 2 накопительных пенсионных фонда:</w:t>
      </w:r>
    </w:p>
    <w:p>
      <w:pPr>
        <w:spacing w:after="120"/>
        <w:jc w:val="both"/>
      </w:pPr>
      <w:r>
        <w:rPr>
          <w:rFonts w:ascii="Arial" w:cs="Arial" w:eastAsia="Arial" w:hAnsi="Arial"/>
          <w:sz w:val="24"/>
          <w:szCs w:val="24"/>
        </w:rPr>
        <w:t xml:space="preserve">накопительный пенсионный фонд «Кыргызстан», осуществляет свою деятельность с 1995 года;</w:t>
      </w:r>
    </w:p>
    <w:p>
      <w:pPr>
        <w:spacing w:after="120"/>
        <w:jc w:val="both"/>
      </w:pPr>
      <w:r>
        <w:rPr>
          <w:rFonts w:ascii="Arial" w:cs="Arial" w:eastAsia="Arial" w:hAnsi="Arial"/>
          <w:sz w:val="24"/>
          <w:szCs w:val="24"/>
        </w:rPr>
        <w:t xml:space="preserve">накопительный пенсионный фонд «Дордой Гарант», осуществлет деятельность с декабря 2019 года.</w:t>
      </w:r>
    </w:p>
    <w:p>
      <w:pPr>
        <w:spacing w:after="120"/>
        <w:jc w:val="both"/>
      </w:pPr>
      <w:r>
        <w:rPr>
          <w:rFonts w:ascii="Arial" w:cs="Arial" w:eastAsia="Arial" w:hAnsi="Arial"/>
          <w:sz w:val="24"/>
          <w:szCs w:val="24"/>
        </w:rPr>
        <w:t xml:space="preserve">Накопительный пенсионный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120"/>
        <w:jc w:val="both"/>
      </w:pPr>
      <w:r>
        <w:rPr>
          <w:rFonts w:ascii="Arial" w:cs="Arial" w:eastAsia="Arial" w:hAnsi="Arial"/>
          <w:sz w:val="24"/>
          <w:szCs w:val="24"/>
        </w:rPr>
        <w:t xml:space="preserve">- в качестве участника системы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120"/>
        <w:jc w:val="both"/>
      </w:pPr>
      <w:r>
        <w:rPr>
          <w:rFonts w:ascii="Arial" w:cs="Arial" w:eastAsia="Arial" w:hAnsi="Arial"/>
          <w:sz w:val="24"/>
          <w:szCs w:val="24"/>
        </w:rPr>
        <w:t xml:space="preserve">Пенсионные активы накопительного пенсионного фонда «Кыргызстан» на 1 января 2020 года составили 38 104 878 сомов и увеличились по сравнению с началом 2019 года на 147,1 %.</w:t>
      </w:r>
    </w:p>
    <w:p>
      <w:pPr>
        <w:spacing w:after="120"/>
        <w:jc w:val="right"/>
      </w:pPr>
      <w:r>
        <w:rPr>
          <w:rFonts w:ascii="Arial" w:cs="Arial" w:eastAsia="Arial" w:hAnsi="Arial"/>
          <w:b/>
          <w:bCs/>
          <w:sz w:val="24"/>
          <w:szCs w:val="24"/>
        </w:rPr>
        <w:t xml:space="preserve">Диаграмма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диаграмме 6, отмечается колебание роста пенсионных активов накопительного пенсионного фонда «Кыргызстан», что связано с проведением мероприятий по информированию населения, в результате которых были приобретены пенсионные полисы, а также заключены договоры на дополнительное пенсионное обеспечение.</w:t>
      </w:r>
    </w:p>
    <w:p>
      <w:pPr>
        <w:spacing w:after="120"/>
        <w:jc w:val="right"/>
      </w:pPr>
      <w:r>
        <w:rPr>
          <w:rFonts w:ascii="Arial" w:cs="Arial" w:eastAsia="Arial" w:hAnsi="Arial"/>
          <w:b/>
          <w:bCs/>
          <w:sz w:val="24"/>
          <w:szCs w:val="24"/>
        </w:rPr>
        <w:t xml:space="preserve">Диаграмма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получателей пенсий по сравнению с 2019 годом снизилось на 0,3 %, но при этом увеличилось количество вкладчиков, в связи с переходом застрахованных лиц с государственного накопительного пенсионного фонда в накопительный пенсионный фонд. Так, согласно представленным накопительным пенсионным фондом «Кыргызстан» сведениям, на 1 января 2020 года количество вкладчиков увеличились на 72,7 % по сравнению с началом 2019 года.</w:t>
      </w:r>
    </w:p>
    <w:p>
      <w:pPr>
        <w:spacing w:after="120"/>
        <w:jc w:val="both"/>
      </w:pPr>
      <w:r>
        <w:rPr>
          <w:rFonts w:ascii="Arial" w:cs="Arial" w:eastAsia="Arial" w:hAnsi="Arial"/>
          <w:sz w:val="24"/>
          <w:szCs w:val="24"/>
        </w:rPr>
        <w:t xml:space="preserve"> В настоящее время средства пенсионных накоплений, находящиеся в управлении накопительного пенсионного фонда «Кыргызстан», инвестируются через управляющую компанию, имеющую лицензию на доверительное управление инвестиционными активами, согласно договору доверительного управления средствами пенсионных накоплений.</w:t>
      </w:r>
    </w:p>
    <w:p>
      <w:pPr>
        <w:spacing w:after="120"/>
        <w:jc w:val="both"/>
      </w:pPr>
      <w:r>
        <w:rPr>
          <w:rFonts w:ascii="Arial" w:cs="Arial" w:eastAsia="Arial" w:hAnsi="Arial"/>
          <w:sz w:val="24"/>
          <w:szCs w:val="24"/>
        </w:rPr>
        <w:t xml:space="preserve">Накопительный пенсионный фонд «Дордой Гарант» создан в конце 2019 года и не имеет годовой отчетности о своей деятельности.</w:t>
      </w:r>
    </w:p>
    <w:p>
      <w:pPr>
        <w:spacing w:after="120"/>
        <w:jc w:val="both"/>
      </w:pPr>
      <w:r>
        <w:rPr>
          <w:rFonts w:ascii="Arial" w:cs="Arial" w:eastAsia="Arial" w:hAnsi="Arial"/>
          <w:sz w:val="24"/>
          <w:szCs w:val="24"/>
        </w:rPr>
        <w:t xml:space="preserve">Государственной службой регулирования и надзора за финансовым рынком при Министерстве экономики и финансов Кыргызской Республики принимаются меры по совершенствованию законодательства Кыргызской Республики для развития и деятельности накопительных пенсионных фондов</w:t>
      </w:r>
    </w:p>
    <w:p>
      <w:pPr>
        <w:spacing w:after="120"/>
        <w:jc w:val="both"/>
      </w:pPr>
      <w:r>
        <w:rPr>
          <w:rFonts w:ascii="Arial" w:cs="Arial" w:eastAsia="Arial" w:hAnsi="Arial"/>
          <w:sz w:val="24"/>
          <w:szCs w:val="24"/>
        </w:rPr>
        <w:t xml:space="preserve">В целях создания новых накопительных пенсионных фондов в форме акционерных обществ, внедрения корпоративных и профессиональных пенсионных фондов в Кыргызской Республике, а также развития рынка накопительных пенсионных фондов, путем совершенствования законодательства Кыргызской Республики принят Закон Кыргызской Республики «О внесений изменений в Закон Кыргызской Республики 
 «О накопительных пенсионных фондах в Кыргызской Республике» от 25 июля 2019 года № 101.</w:t>
      </w:r>
    </w:p>
    <w:p>
      <w:pPr>
        <w:spacing w:after="120"/>
        <w:jc w:val="both"/>
      </w:pPr>
      <w:r>
        <w:rPr>
          <w:rFonts w:ascii="Arial" w:cs="Arial" w:eastAsia="Arial" w:hAnsi="Arial"/>
          <w:sz w:val="24"/>
          <w:szCs w:val="24"/>
        </w:rPr>
        <w:t xml:space="preserve">Совершенствуя и развивая накопительные пенсионные фонды можно решить ряд проблем пенсионной системы нашей страны.</w:t>
      </w:r>
    </w:p>
    <w:p>
      <w:pPr>
        <w:spacing w:after="120"/>
        <w:jc w:val="both"/>
      </w:pPr>
      <w:r>
        <w:rPr>
          <w:rFonts w:ascii="Arial" w:cs="Arial" w:eastAsia="Arial" w:hAnsi="Arial"/>
          <w:sz w:val="24"/>
          <w:szCs w:val="24"/>
        </w:rPr>
        <w:t xml:space="preserve">Накопительная составляющая пенсионной системы требует модернизации, расширения перечня финансовых институтов, участвующих в соответствующих правоотношениях, увеличения качественных инструментов для инвестирования средств пенсионных накоплений и создания эффективной системы контроля за инвестированием средств пенсионных накоплений.</w:t>
      </w:r>
    </w:p>
    <w:p>
      <w:pPr>
        <w:spacing w:after="120"/>
        <w:jc w:val="both"/>
      </w:pPr>
      <w:r>
        <w:rPr>
          <w:rFonts w:ascii="Arial" w:cs="Arial" w:eastAsia="Arial" w:hAnsi="Arial"/>
          <w:sz w:val="24"/>
          <w:szCs w:val="24"/>
        </w:rPr>
        <w:t xml:space="preserve">Создание накопительных пенсионных фондов в организационно-правовой форме акционерных обществ позволит не только стать таким фондам полноправными участниками рынка, но также повысит прозрачность вопроса имущественной ответственности менеджмента и акционеров фондов за последствия выполнения принятых ими неэффективных решений. Акционерная форма накопительных пенсионных фондов позволит усилить прозрачность в деятельности фондов, а также перейти к системе рыночной оценки их эффективности и определению их рейтинга.</w:t>
      </w:r>
    </w:p>
    <w:p>
      <w:pPr>
        <w:spacing w:after="120"/>
        <w:jc w:val="both"/>
      </w:pPr>
      <w:r>
        <w:rPr>
          <w:rFonts w:ascii="Arial" w:cs="Arial" w:eastAsia="Arial" w:hAnsi="Arial"/>
          <w:sz w:val="24"/>
          <w:szCs w:val="24"/>
        </w:rPr>
        <w:t xml:space="preserve">Опыт работы накопительных пенсионных фондов показал ряд узких мест в действующей добровольной накопительной пенсионной системе, основными из которых являются:</w:t>
      </w:r>
    </w:p>
    <w:p>
      <w:pPr>
        <w:spacing w:after="120"/>
        <w:jc w:val="both"/>
      </w:pPr>
      <w:r>
        <w:rPr>
          <w:rFonts w:ascii="Arial" w:cs="Arial" w:eastAsia="Arial" w:hAnsi="Arial"/>
          <w:sz w:val="24"/>
          <w:szCs w:val="24"/>
        </w:rPr>
        <w:t xml:space="preserve">- незаинтересованность граждан и работодателей в управлении пенсионными ресурсами и их накапливании;</w:t>
      </w:r>
    </w:p>
    <w:p>
      <w:pPr>
        <w:spacing w:after="120"/>
        <w:jc w:val="both"/>
      </w:pPr>
      <w:r>
        <w:rPr>
          <w:rFonts w:ascii="Arial" w:cs="Arial" w:eastAsia="Arial" w:hAnsi="Arial"/>
          <w:sz w:val="24"/>
          <w:szCs w:val="24"/>
        </w:rPr>
        <w:t xml:space="preserve">- недостаточность пенсионных накоплений для достойного уровня пенсионных выплат при наступлении старости;</w:t>
      </w:r>
    </w:p>
    <w:p>
      <w:pPr>
        <w:spacing w:after="120"/>
        <w:jc w:val="both"/>
      </w:pPr>
      <w:r>
        <w:rPr>
          <w:rFonts w:ascii="Arial" w:cs="Arial" w:eastAsia="Arial" w:hAnsi="Arial"/>
          <w:sz w:val="24"/>
          <w:szCs w:val="24"/>
        </w:rPr>
        <w:t xml:space="preserve">- недостаточный охват населения услугами накопительных пенсионных фондов;</w:t>
      </w:r>
    </w:p>
    <w:p>
      <w:pPr>
        <w:spacing w:after="120"/>
        <w:jc w:val="both"/>
      </w:pPr>
      <w:r>
        <w:rPr>
          <w:rFonts w:ascii="Arial" w:cs="Arial" w:eastAsia="Arial" w:hAnsi="Arial"/>
          <w:sz w:val="24"/>
          <w:szCs w:val="24"/>
        </w:rPr>
        <w:t xml:space="preserve">- отсутствие стимулов к развитию добровольного формирования пенсионных накоплений;</w:t>
      </w:r>
    </w:p>
    <w:p>
      <w:pPr>
        <w:spacing w:after="120"/>
        <w:jc w:val="both"/>
      </w:pPr>
      <w:r>
        <w:rPr>
          <w:rFonts w:ascii="Arial" w:cs="Arial" w:eastAsia="Arial" w:hAnsi="Arial"/>
          <w:sz w:val="24"/>
          <w:szCs w:val="24"/>
        </w:rPr>
        <w:t xml:space="preserve">- отсутствие сотрудничества между работодателями и накопительными пенсионными фондами;</w:t>
      </w:r>
    </w:p>
    <w:p>
      <w:pPr>
        <w:spacing w:after="120"/>
        <w:jc w:val="both"/>
      </w:pPr>
      <w:r>
        <w:rPr>
          <w:rFonts w:ascii="Arial" w:cs="Arial" w:eastAsia="Arial" w:hAnsi="Arial"/>
          <w:sz w:val="24"/>
          <w:szCs w:val="24"/>
        </w:rPr>
        <w:t xml:space="preserve">- низкий уровень доверия к накопительным пенсионным фондам.</w:t>
      </w:r>
    </w:p>
    <w:p>
      <w:pPr>
        <w:spacing w:after="120"/>
        <w:jc w:val="both"/>
      </w:pPr>
      <w:r>
        <w:rPr>
          <w:rFonts w:ascii="Arial" w:cs="Arial" w:eastAsia="Arial" w:hAnsi="Arial"/>
          <w:sz w:val="24"/>
          <w:szCs w:val="24"/>
        </w:rPr>
        <w:t xml:space="preserve">Имеющие место проблемы в развитии накопительной пенсионной системы можно охарактеризовать следующим:</w:t>
      </w:r>
    </w:p>
    <w:p>
      <w:pPr>
        <w:spacing w:after="120"/>
        <w:jc w:val="both"/>
      </w:pPr>
      <w:r>
        <w:rPr>
          <w:rFonts w:ascii="Arial" w:cs="Arial" w:eastAsia="Arial" w:hAnsi="Arial"/>
          <w:sz w:val="24"/>
          <w:szCs w:val="24"/>
        </w:rPr>
        <w:t xml:space="preserve">Недостаточная степень вовлеченности населения в накопительную пенсионную систему отчасти объясняется низким уровнем информированности и доверия к накоплению активов пенсионных фондов. В настоящее время позитивные возможности и результаты инвестирования пенсионных активов не имеют устойчивого и системного характера, а сама информация в большей степени используется специалистами, работающими на этих рынках, и не доводится до обычных граждан, доверивших свои пенсионные активы накопительным фондам.</w:t>
      </w:r>
    </w:p>
    <w:p>
      <w:pPr>
        <w:spacing w:after="120"/>
        <w:jc w:val="both"/>
      </w:pPr>
      <w:r>
        <w:rPr>
          <w:rFonts w:ascii="Arial" w:cs="Arial" w:eastAsia="Arial" w:hAnsi="Arial"/>
          <w:sz w:val="24"/>
          <w:szCs w:val="24"/>
        </w:rPr>
        <w:t xml:space="preserve">Низкий уровень заработной платы не позволяет населению делать дополнительные вложения (уровень пенсионного обеспечения и финансовое состояние пенсионного фонда зависят, прежде всего, от объема фонда оплаты труда и его доли в ВВП.</w:t>
      </w:r>
    </w:p>
    <w:p>
      <w:pPr>
        <w:spacing w:after="120"/>
        <w:jc w:val="both"/>
      </w:pPr>
      <w:r>
        <w:rPr>
          <w:rFonts w:ascii="Arial" w:cs="Arial" w:eastAsia="Arial" w:hAnsi="Arial"/>
          <w:sz w:val="24"/>
          <w:szCs w:val="24"/>
        </w:rPr>
        <w:t xml:space="preserve">Отстутствие законодательной базы, предоставляющей возможности для реализации преимуществ накопительных пенсионных фондов. Совершенствование своевременной законодательной базы позволит сформировать более надежную и эффективную национальную систему негосударственного пенсионного обеспечения, отвечающую международным стандартам, и которые будут способствовать повышению доверия населения к частным пенсионным системам, что немаловажно, поскольку от этого фактора зависит рост объемов долгосрочных сбережений населения, аккумулированных за счет взносов в накопительные фонды, и их направление в реальный сектор экономики.</w:t>
      </w:r>
    </w:p>
    <w:p>
      <w:pPr>
        <w:spacing w:after="120"/>
        <w:jc w:val="both"/>
      </w:pPr>
      <w:r>
        <w:rPr>
          <w:rFonts w:ascii="Arial" w:cs="Arial" w:eastAsia="Arial" w:hAnsi="Arial"/>
          <w:sz w:val="24"/>
          <w:szCs w:val="24"/>
        </w:rPr>
        <w:t xml:space="preserve">Низкая ликвидность рынка ценных бумаг, не позволяющая систематически и надежно наращивать объемы инвестиций пенсионных активов. В этой ситуации накопительные пенсионные фонды вынуждены вкладывать активы в иные инвестиционные проекты, что существенно повышает риски от инвестирования.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Лотерейная деятельность</w:t>
      </w:r>
    </w:p>
    <w:p>
      <w:pPr>
        <w:spacing w:after="120"/>
        <w:jc w:val="both"/>
      </w:pPr>
      <w:r>
        <w:rPr>
          <w:rFonts w:ascii="Arial" w:cs="Arial" w:eastAsia="Arial" w:hAnsi="Arial"/>
          <w:sz w:val="24"/>
          <w:szCs w:val="24"/>
        </w:rPr>
        <w:t xml:space="preserve">С 2016 года государством приняты меры по введению запрета на лотерейную деятельность, за исключением деятельности государственных компаний. Так, 10 мая 2017 года принят Закон Кыргызской Республики 
 «О лотереях» в новой редакции.</w:t>
      </w:r>
    </w:p>
    <w:p>
      <w:pPr>
        <w:spacing w:after="120"/>
        <w:jc w:val="both"/>
      </w:pPr>
      <w:r>
        <w:rPr>
          <w:rFonts w:ascii="Arial" w:cs="Arial" w:eastAsia="Arial" w:hAnsi="Arial"/>
          <w:sz w:val="24"/>
          <w:szCs w:val="24"/>
        </w:rPr>
        <w:t xml:space="preserve">В соответствии с указанным Законом на территории Кыргызской Республики лотереи по способу розыгрыша подразделяются на следующие типы мгновенная и тиражная лотереи, а типы лотерей в зависимости от целей делятся на следующие виды:</w:t>
      </w:r>
    </w:p>
    <w:p>
      <w:pPr>
        <w:spacing w:after="120"/>
        <w:jc w:val="both"/>
      </w:pPr>
      <w:r>
        <w:rPr>
          <w:rFonts w:ascii="Arial" w:cs="Arial" w:eastAsia="Arial" w:hAnsi="Arial"/>
          <w:sz w:val="24"/>
          <w:szCs w:val="24"/>
        </w:rPr>
        <w:t xml:space="preserve">1) государственная лотерея лотерея, организатором которой выступают государственные органы;</w:t>
      </w:r>
    </w:p>
    <w:p>
      <w:pPr>
        <w:spacing w:after="120"/>
        <w:jc w:val="both"/>
      </w:pPr>
      <w:r>
        <w:rPr>
          <w:rFonts w:ascii="Arial" w:cs="Arial" w:eastAsia="Arial" w:hAnsi="Arial"/>
          <w:sz w:val="24"/>
          <w:szCs w:val="24"/>
        </w:rPr>
        <w:t xml:space="preserve">2) профессиональная лотерея лотерея, проводимая организатором профессиональной лотереи на основании лицензии в целях получения прибыли;</w:t>
      </w:r>
    </w:p>
    <w:p>
      <w:pPr>
        <w:spacing w:after="120"/>
        <w:jc w:val="both"/>
      </w:pPr>
      <w:r>
        <w:rPr>
          <w:rFonts w:ascii="Arial" w:cs="Arial" w:eastAsia="Arial" w:hAnsi="Arial"/>
          <w:sz w:val="24"/>
          <w:szCs w:val="24"/>
        </w:rPr>
        <w:t xml:space="preserve">3) стимулирующая лотерея лотерея, проводимая организатором стимулирующей лотереи в рекламных целях или в целях стимулирования продажи товаров, услуг. При этом участие не требует покупки специального билета либо дополнительной оплаты.</w:t>
      </w:r>
    </w:p>
    <w:p>
      <w:pPr>
        <w:spacing w:after="120"/>
        <w:jc w:val="both"/>
      </w:pPr>
      <w:r>
        <w:rPr>
          <w:rFonts w:ascii="Arial" w:cs="Arial" w:eastAsia="Arial" w:hAnsi="Arial"/>
          <w:sz w:val="24"/>
          <w:szCs w:val="24"/>
        </w:rPr>
        <w:t xml:space="preserve">В целях обеспечения полноценного функционирования механизма организации и проведения государственной лотереи в Кыргызской Республике постановлением Правительства Кыргызской Республики от 17 июня 2016 года № 339 создано Государственное предприятие «Государственная лотерейная компания». В соответствии с данным постановлением Государственное предприятие «Государственная лотерейная компания» было уполномочено на проведение профессиональной лотереи и для этой деятельности ему было выделено 10 млн сомов, в последующем еще 20 млн сомов.</w:t>
      </w:r>
    </w:p>
    <w:p>
      <w:pPr>
        <w:spacing w:after="120"/>
        <w:jc w:val="both"/>
      </w:pPr>
      <w:r>
        <w:rPr>
          <w:rFonts w:ascii="Arial" w:cs="Arial" w:eastAsia="Arial" w:hAnsi="Arial"/>
          <w:sz w:val="24"/>
          <w:szCs w:val="24"/>
        </w:rPr>
        <w:t xml:space="preserve">Деятельность Государственного предприятия «Государственная лотерейная компания» характеризуется следующими данными:</w:t>
      </w:r>
    </w:p>
    <w:p>
      <w:pPr>
        <w:spacing w:after="120"/>
        <w:jc w:val="right"/>
      </w:pPr>
      <w:r>
        <w:rPr>
          <w:rFonts w:ascii="Arial" w:cs="Arial" w:eastAsia="Arial" w:hAnsi="Arial"/>
          <w:sz w:val="24"/>
          <w:szCs w:val="24"/>
        </w:rPr>
        <w:t xml:space="preserve">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6945"/>
        <w:gridCol w:w="1420"/>
        <w:gridCol w:w="1454"/>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9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проведения лотереи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выплаченный призовой фонд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лотереи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выручка Государственного предприятия «Государственная лотерейная компания» от проведения лотереи составила 46 млн сомов, фактически выплаченный призовой фонд составил 19,2 млн сомов, доход от лотереи составил 9,2 млн сомов (за 2018 год имеет отрицательные результаты – 2,1 млн сомов).</w:t>
      </w:r>
    </w:p>
    <w:p>
      <w:pPr>
        <w:spacing w:after="120"/>
        <w:jc w:val="both"/>
      </w:pPr>
      <w:r>
        <w:rPr>
          <w:rFonts w:ascii="Arial" w:cs="Arial" w:eastAsia="Arial" w:hAnsi="Arial"/>
          <w:sz w:val="24"/>
          <w:szCs w:val="24"/>
        </w:rPr>
        <w:t xml:space="preserve">За 2019 год в результате экспертизы представленных документов на соответствие требованиям законодательства в области лицензионно-разрешительной деятельности выдано 151 разрешение на проведение организаторами стимулирующей лотереи.</w:t>
      </w:r>
    </w:p>
    <w:p>
      <w:pPr>
        <w:spacing w:after="120"/>
        <w:jc w:val="both"/>
      </w:pPr>
      <w:r>
        <w:rPr>
          <w:rFonts w:ascii="Arial" w:cs="Arial" w:eastAsia="Arial" w:hAnsi="Arial"/>
          <w:sz w:val="24"/>
          <w:szCs w:val="24"/>
        </w:rPr>
        <w:t xml:space="preserve">Вместе с тем, причинами слабо развитой лотерейной деятельности в стране являются:</w:t>
      </w:r>
    </w:p>
    <w:p>
      <w:pPr>
        <w:spacing w:after="120"/>
        <w:jc w:val="both"/>
      </w:pPr>
      <w:r>
        <w:rPr>
          <w:rFonts w:ascii="Arial" w:cs="Arial" w:eastAsia="Arial" w:hAnsi="Arial"/>
          <w:sz w:val="24"/>
          <w:szCs w:val="24"/>
        </w:rPr>
        <w:t xml:space="preserve">- отсутствие более широкой и доступной информации;</w:t>
      </w:r>
    </w:p>
    <w:p>
      <w:pPr>
        <w:spacing w:after="120"/>
        <w:jc w:val="both"/>
      </w:pPr>
      <w:r>
        <w:rPr>
          <w:rFonts w:ascii="Arial" w:cs="Arial" w:eastAsia="Arial" w:hAnsi="Arial"/>
          <w:sz w:val="24"/>
          <w:szCs w:val="24"/>
        </w:rPr>
        <w:t xml:space="preserve">- низкий уровень освещения результатов лотерейной деятельности в средствах массовой информации;</w:t>
      </w:r>
    </w:p>
    <w:p>
      <w:pPr>
        <w:spacing w:after="120"/>
        <w:jc w:val="both"/>
      </w:pPr>
      <w:r>
        <w:rPr>
          <w:rFonts w:ascii="Arial" w:cs="Arial" w:eastAsia="Arial" w:hAnsi="Arial"/>
          <w:sz w:val="24"/>
          <w:szCs w:val="24"/>
        </w:rPr>
        <w:t xml:space="preserve">- неосведомленность и финансовая неграмотность населения;</w:t>
      </w:r>
    </w:p>
    <w:p>
      <w:pPr>
        <w:spacing w:after="120"/>
        <w:jc w:val="both"/>
      </w:pPr>
      <w:r>
        <w:rPr>
          <w:rFonts w:ascii="Arial" w:cs="Arial" w:eastAsia="Arial" w:hAnsi="Arial"/>
          <w:sz w:val="24"/>
          <w:szCs w:val="24"/>
        </w:rPr>
        <w:t xml:space="preserve">- слабые стимулы к участию в лотерее и слабый уровень организации лотереи.</w:t>
      </w:r>
    </w:p>
    <w:p>
      <w:pPr>
        <w:spacing w:after="120"/>
        <w:jc w:val="both"/>
      </w:pPr>
      <w:r>
        <w:rPr>
          <w:rFonts w:ascii="Arial" w:cs="Arial" w:eastAsia="Arial" w:hAnsi="Arial"/>
          <w:sz w:val="24"/>
          <w:szCs w:val="24"/>
        </w:rPr>
        <w:t xml:space="preserve">Слабая вовлеченность и низкий уровень доверия населения влияют на масштабы и эффективность проведения лотерей.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Стратегические цели и задачи развития небанковского финансового рынка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Рынок ценных бумаг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настоящей Стратегии является превращение рынка ценных бумаг страны в один из главных механизмов реализации инвестиционных программ, создание условий для эффективного привлечения частных накоплений и свободных средств частного бизнеса, иностранного капитала для решения возрастающих задач капитализации экономики, а также обеспечение возможностей для реализации интересов различных категорий инвесторов.</w:t>
      </w:r>
    </w:p>
    <w:p>
      <w:pPr>
        <w:spacing w:after="120"/>
        <w:jc w:val="both"/>
      </w:pPr>
      <w:r>
        <w:rPr>
          <w:rFonts w:ascii="Arial" w:cs="Arial" w:eastAsia="Arial" w:hAnsi="Arial"/>
          <w:sz w:val="24"/>
          <w:szCs w:val="24"/>
        </w:rPr>
        <w:t xml:space="preserve">Для достижения указанной цели требуется проведение работ по трем кардинальным направлениям:</w:t>
      </w:r>
    </w:p>
    <w:p>
      <w:pPr>
        <w:spacing w:after="120"/>
        <w:jc w:val="both"/>
      </w:pPr>
      <w:r>
        <w:rPr>
          <w:rFonts w:ascii="Arial" w:cs="Arial" w:eastAsia="Arial" w:hAnsi="Arial"/>
          <w:sz w:val="24"/>
          <w:szCs w:val="24"/>
        </w:rPr>
        <w:t xml:space="preserve">снижение уровня инвестиционного риска на рынке через обеспечение должной защиты законных прав и интересов инвесторов;</w:t>
      </w:r>
    </w:p>
    <w:p>
      <w:pPr>
        <w:spacing w:after="120"/>
        <w:jc w:val="both"/>
      </w:pPr>
      <w:r>
        <w:rPr>
          <w:rFonts w:ascii="Arial" w:cs="Arial" w:eastAsia="Arial" w:hAnsi="Arial"/>
          <w:sz w:val="24"/>
          <w:szCs w:val="24"/>
        </w:rPr>
        <w:t xml:space="preserve">активное формирование портфельного инвестора через развитие коллективных форм сбережений и обеспечение должных принципов их инвестирования;</w:t>
      </w:r>
    </w:p>
    <w:p>
      <w:pPr>
        <w:spacing w:after="120"/>
        <w:jc w:val="both"/>
      </w:pPr>
      <w:r>
        <w:rPr>
          <w:rFonts w:ascii="Arial" w:cs="Arial" w:eastAsia="Arial" w:hAnsi="Arial"/>
          <w:sz w:val="24"/>
          <w:szCs w:val="24"/>
        </w:rPr>
        <w:t xml:space="preserve">проведение реформы в законодательстве и государственном управлении, направленной на создание реальных условий для регулирования фондового рынка и его институтов.</w:t>
      </w:r>
    </w:p>
    <w:p>
      <w:pPr>
        <w:spacing w:after="120"/>
        <w:jc w:val="both"/>
      </w:pPr>
      <w:r>
        <w:rPr>
          <w:rFonts w:ascii="Arial" w:cs="Arial" w:eastAsia="Arial" w:hAnsi="Arial"/>
          <w:sz w:val="24"/>
          <w:szCs w:val="24"/>
        </w:rPr>
        <w:t xml:space="preserve">Необходимо также принятие комплекса мер, обеспечивающих расширение круга институциональных инвесторов в лице пенсионных и инвестиционных фондов, а также страховых компаний, создающих среду, подталкивающую коммерческие банки становиться участниками рынка ценных бумаг.</w:t>
      </w:r>
    </w:p>
    <w:p>
      <w:pPr>
        <w:spacing w:after="120"/>
        <w:jc w:val="both"/>
      </w:pPr>
      <w:r>
        <w:rPr>
          <w:rFonts w:ascii="Arial" w:cs="Arial" w:eastAsia="Arial" w:hAnsi="Arial"/>
          <w:sz w:val="24"/>
          <w:szCs w:val="24"/>
        </w:rPr>
        <w:t xml:space="preserve">Для достижения цели Стратегии определены следующие приоритетные задачи:</w:t>
      </w:r>
    </w:p>
    <w:p>
      <w:pPr>
        <w:spacing w:after="120"/>
        <w:jc w:val="both"/>
      </w:pPr>
      <w:r>
        <w:rPr>
          <w:rFonts w:ascii="Arial" w:cs="Arial" w:eastAsia="Arial" w:hAnsi="Arial"/>
          <w:sz w:val="24"/>
          <w:szCs w:val="24"/>
        </w:rPr>
        <w:t xml:space="preserve">1. Повышение требований к капитализации профессиональных участников рынка, занимающихся брокерской, дилерской, биржевой и депозитарной деятельностью, с прицелом на повышение качества и уровня услуг в условиях повышающейся конкуренции на рынке ЕАЭС,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2. Повышение требований к профессиональной компетентности лиц, занимающих ведущие должности в организациях профессиональных участников рынка, и уровню квалификационных экзаменов для этих лиц, проводимых регулятором,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3. Взаимное признание выпусков ценных бумаг, финансовых инструментов между странами ЕАЭС путем разработки и принятия соответствующих нормативных правовых актов.</w:t>
      </w:r>
    </w:p>
    <w:p>
      <w:pPr>
        <w:spacing w:after="120"/>
        <w:jc w:val="both"/>
      </w:pPr>
      <w:r>
        <w:rPr>
          <w:rFonts w:ascii="Arial" w:cs="Arial" w:eastAsia="Arial" w:hAnsi="Arial"/>
          <w:sz w:val="24"/>
          <w:szCs w:val="24"/>
        </w:rPr>
        <w:t xml:space="preserve">4. Стимулирование торговли ценными бумагами на организованном рынке, существенное увеличение объемов биржевой торговли по всем финансовым инструментам, инвестируемым розничными инвесторами, путем:</w:t>
      </w:r>
    </w:p>
    <w:p>
      <w:pPr>
        <w:spacing w:after="120"/>
        <w:jc w:val="both"/>
      </w:pPr>
      <w:r>
        <w:rPr>
          <w:rFonts w:ascii="Arial" w:cs="Arial" w:eastAsia="Arial" w:hAnsi="Arial"/>
          <w:sz w:val="24"/>
          <w:szCs w:val="24"/>
        </w:rPr>
        <w:t xml:space="preserve">- содействия в открытии на базе фондовой биржи индивидуальных инвестиционных счетов – специальных счетов для ведения учета инвестиций клиентов, что способствует повышению ликвидности финансовых инструментов и функционированию здорового финансового рынка;</w:t>
      </w:r>
    </w:p>
    <w:p>
      <w:pPr>
        <w:spacing w:after="120"/>
        <w:jc w:val="both"/>
      </w:pPr>
      <w:r>
        <w:rPr>
          <w:rFonts w:ascii="Arial" w:cs="Arial" w:eastAsia="Arial" w:hAnsi="Arial"/>
          <w:sz w:val="24"/>
          <w:szCs w:val="24"/>
        </w:rPr>
        <w:t xml:space="preserve">- формирования и дальнейшего развития единого биржевого рынка, включающего рынок корпоративных ценных бумаг, рынок государственных и муниципальных ценных бумаг, товарно-сырьевой рынок, рынок драгоценных металлов, рынок ипотечных ценных бумаг и других финансовых инструментов.</w:t>
      </w:r>
    </w:p>
    <w:p>
      <w:pPr>
        <w:spacing w:after="120"/>
        <w:jc w:val="both"/>
      </w:pPr>
      <w:r>
        <w:rPr>
          <w:rFonts w:ascii="Arial" w:cs="Arial" w:eastAsia="Arial" w:hAnsi="Arial"/>
          <w:sz w:val="24"/>
          <w:szCs w:val="24"/>
        </w:rPr>
        <w:t xml:space="preserve">Указанные мероприятия позволят создать надлежащие условия для роста рыночной активности участников торгов, повысить до конкурентных условий собственный инфраструктурный потенциал и сделать привлекательным отечественный биржевой финансовый рынок через расширение и углубление взаимодействия с торговыми площадками других стран и прежде всего ЕАЭС.</w:t>
      </w:r>
    </w:p>
    <w:p>
      <w:pPr>
        <w:spacing w:after="120"/>
        <w:jc w:val="both"/>
      </w:pPr>
      <w:r>
        <w:rPr>
          <w:rFonts w:ascii="Arial" w:cs="Arial" w:eastAsia="Arial" w:hAnsi="Arial"/>
          <w:sz w:val="24"/>
          <w:szCs w:val="24"/>
        </w:rPr>
        <w:t xml:space="preserve">Данные мероприятия также позволят обеспечить концентрацию всего разнообразия выпускаемых ценных бумаг инвестиционного характера (акции, облигации, государственные ценные бумаги, муниципальные ценные бумаги, производные инструменты) на единой биржевой торговой площадке для доступа широкого круга инвесторов.</w:t>
      </w:r>
    </w:p>
    <w:p>
      <w:pPr>
        <w:spacing w:after="120"/>
        <w:jc w:val="both"/>
      </w:pPr>
      <w:r>
        <w:rPr>
          <w:rFonts w:ascii="Arial" w:cs="Arial" w:eastAsia="Arial" w:hAnsi="Arial"/>
          <w:sz w:val="24"/>
          <w:szCs w:val="24"/>
        </w:rPr>
        <w:t xml:space="preserve">5. Обеспечение надлежащего повышения информационно-технологического потенциала закрытого акционерного общества «Кыргызская фондовая биржа» за счет привлечения дополнительного капитала путем кардинальной модернизации программно-технического комплекса биржи, с использованием новых технологий, обеспечивающего современный уровень производительности, надежности и функциональности биржевой торговой системы, с возможностью предоставлять участникам торгов осуществление операций, подключая собственные внешние программно-технические средства к технологиям, использующим FIX-протоколы и другие.</w:t>
      </w:r>
    </w:p>
    <w:p>
      <w:pPr>
        <w:spacing w:after="120"/>
        <w:jc w:val="both"/>
      </w:pPr>
      <w:r>
        <w:rPr>
          <w:rFonts w:ascii="Arial" w:cs="Arial" w:eastAsia="Arial" w:hAnsi="Arial"/>
          <w:sz w:val="24"/>
          <w:szCs w:val="24"/>
        </w:rPr>
        <w:t xml:space="preserve">Безусловно, это является ключевым приоритетом в развитии фондовой биржи и требует существенных инвестиций через привлечение заинтересованного стратегического инвестора.</w:t>
      </w:r>
    </w:p>
    <w:p>
      <w:pPr>
        <w:spacing w:after="120"/>
        <w:jc w:val="both"/>
      </w:pPr>
      <w:r>
        <w:rPr>
          <w:rFonts w:ascii="Arial" w:cs="Arial" w:eastAsia="Arial" w:hAnsi="Arial"/>
          <w:sz w:val="24"/>
          <w:szCs w:val="24"/>
        </w:rPr>
        <w:t xml:space="preserve">6. Создание единого торгового, расчетно-депозитарного и клирингового холдинга на рынке ценных бумаг на базе закрытых акционерных обществ «Кыргызская фондовая биржа» и «Центральный депозитарий».</w:t>
      </w:r>
    </w:p>
    <w:p>
      <w:pPr>
        <w:spacing w:after="120"/>
        <w:jc w:val="both"/>
      </w:pPr>
      <w:r>
        <w:rPr>
          <w:rFonts w:ascii="Arial" w:cs="Arial" w:eastAsia="Arial" w:hAnsi="Arial"/>
          <w:sz w:val="24"/>
          <w:szCs w:val="24"/>
        </w:rPr>
        <w:t xml:space="preserve">Безусловно, во главе учетной системы рынка ценных бумаг должен стать единый Центральный депозитарий, который будет играть роль учетного и расчетного центра рынка ценных бумаг. Центральный депозитарий должен быть интегрирован в платежную систему Кыргызской Республики, что позволит проводить расчеты по сделкам с участниками рынка ценных бумаг, в том числе с государственными ценными бумагами.</w:t>
      </w:r>
    </w:p>
    <w:p>
      <w:pPr>
        <w:spacing w:after="120"/>
        <w:jc w:val="both"/>
      </w:pPr>
      <w:r>
        <w:rPr>
          <w:rFonts w:ascii="Arial" w:cs="Arial" w:eastAsia="Arial" w:hAnsi="Arial"/>
          <w:sz w:val="24"/>
          <w:szCs w:val="24"/>
        </w:rPr>
        <w:t xml:space="preserve">7. Совершенствование системы административных и уголовных наказаний за правонарушения на рынке ценных бумаг для повышения его надежности в интересах инвесторов, путем:</w:t>
      </w:r>
    </w:p>
    <w:p>
      <w:pPr>
        <w:spacing w:after="120"/>
        <w:jc w:val="both"/>
      </w:pPr>
      <w:r>
        <w:rPr>
          <w:rFonts w:ascii="Arial" w:cs="Arial" w:eastAsia="Arial" w:hAnsi="Arial"/>
          <w:sz w:val="24"/>
          <w:szCs w:val="24"/>
        </w:rPr>
        <w:t xml:space="preserve">- составления национального перечня оснований, порядка, условий и размера применения санкций к участникам рынка ценных бумаг и эмитентам за правонарушения на финансовом рынке;</w:t>
      </w:r>
    </w:p>
    <w:p>
      <w:pPr>
        <w:spacing w:after="120"/>
        <w:jc w:val="both"/>
      </w:pPr>
      <w:r>
        <w:rPr>
          <w:rFonts w:ascii="Arial" w:cs="Arial" w:eastAsia="Arial" w:hAnsi="Arial"/>
          <w:sz w:val="24"/>
          <w:szCs w:val="24"/>
        </w:rPr>
        <w:t xml:space="preserve">- составления национального перечня требований по защите прав и интересов потребителей финансовых услуг на рынке ценных бумаг;</w:t>
      </w:r>
    </w:p>
    <w:p>
      <w:pPr>
        <w:spacing w:after="120"/>
        <w:jc w:val="both"/>
      </w:pPr>
      <w:r>
        <w:rPr>
          <w:rFonts w:ascii="Arial" w:cs="Arial" w:eastAsia="Arial" w:hAnsi="Arial"/>
          <w:sz w:val="24"/>
          <w:szCs w:val="24"/>
        </w:rPr>
        <w:t xml:space="preserve">- составления национального перечня требований, направленных на противодействие неправомерному использованию инсайдерской информации и манипулированию на рынке ценных бумаг;</w:t>
      </w:r>
    </w:p>
    <w:p>
      <w:pPr>
        <w:spacing w:after="120"/>
        <w:jc w:val="both"/>
      </w:pPr>
      <w:r>
        <w:rPr>
          <w:rFonts w:ascii="Arial" w:cs="Arial" w:eastAsia="Arial" w:hAnsi="Arial"/>
          <w:sz w:val="24"/>
          <w:szCs w:val="24"/>
        </w:rPr>
        <w:t xml:space="preserve">- составления национального и разработки гармонизированного перечня требований к системе корпоративного управления участников рынка ценных бумаг.</w:t>
      </w:r>
    </w:p>
    <w:p>
      <w:pPr>
        <w:spacing w:after="120"/>
        <w:jc w:val="both"/>
      </w:pPr>
      <w:r>
        <w:rPr>
          <w:rFonts w:ascii="Arial" w:cs="Arial" w:eastAsia="Arial" w:hAnsi="Arial"/>
          <w:sz w:val="24"/>
          <w:szCs w:val="24"/>
        </w:rPr>
        <w:t xml:space="preserve">8. Введение процедуры сертификации инвестиционных консультантов и рейтинговых агентств.</w:t>
      </w:r>
    </w:p>
    <w:p>
      <w:pPr>
        <w:spacing w:after="120"/>
        <w:jc w:val="both"/>
      </w:pPr>
      <w:r>
        <w:rPr>
          <w:rFonts w:ascii="Arial" w:cs="Arial" w:eastAsia="Arial" w:hAnsi="Arial"/>
          <w:sz w:val="24"/>
          <w:szCs w:val="24"/>
        </w:rPr>
        <w:t xml:space="preserve">9. Обеспечение существенного продвижения по вопросам гармонизации регулятивных и институциональных условий финансового рынка страны с государствами-членами ЕАЭС, а также обеспечение взаимной информационной прозрачности их рынков, путем составления национального и разработки гармонизированного перечня требований к раскрытию информации об эмитенте и его ценных бумагах, которые размещаются и (или) обращаются на организованном рынке ценных бумаг (бирже).</w:t>
      </w:r>
    </w:p>
    <w:p>
      <w:pPr>
        <w:spacing w:after="120"/>
        <w:jc w:val="both"/>
      </w:pPr>
      <w:r>
        <w:rPr>
          <w:rFonts w:ascii="Arial" w:cs="Arial" w:eastAsia="Arial" w:hAnsi="Arial"/>
          <w:sz w:val="24"/>
          <w:szCs w:val="24"/>
        </w:rPr>
        <w:t xml:space="preserve">10. Устранение взаимно установленных барьеров при передвижении капиталов, инвестиций, финансовых услуг между государствами-членами ЕАЭС, путем внесения соответствующих поправок в нормативные правовые акты Кыргызской Республики, а также решения вопросов в установленном порядке с государствами-членами ЕАЭС.</w:t>
      </w:r>
    </w:p>
    <w:p>
      <w:pPr>
        <w:spacing w:after="120"/>
        <w:jc w:val="both"/>
      </w:pPr>
      <w:r>
        <w:rPr>
          <w:rFonts w:ascii="Arial" w:cs="Arial" w:eastAsia="Arial" w:hAnsi="Arial"/>
          <w:sz w:val="24"/>
          <w:szCs w:val="24"/>
        </w:rPr>
        <w:t xml:space="preserve">11. Разработка и инициирование мер по защите от недобросовестной конкуренции между профессиональными участниками стран ЕАЭС в условиях предоставления свободного доступа на национальные рынки государств-членов ЕАЭС,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Вместе с тем, в части развития фондового рынка определены следующие приоритетные задачи:</w:t>
      </w:r>
    </w:p>
    <w:p>
      <w:pPr>
        <w:spacing w:after="120"/>
        <w:jc w:val="both"/>
      </w:pPr>
      <w:r>
        <w:rPr>
          <w:rFonts w:ascii="Arial" w:cs="Arial" w:eastAsia="Arial" w:hAnsi="Arial"/>
          <w:sz w:val="24"/>
          <w:szCs w:val="24"/>
        </w:rPr>
        <w:t xml:space="preserve">- повышение ликвидности акций стратегических компаний, и привлечение необходимого капитала для модернизации и развития их потенциала, рост инвестиционной активности на фондовом рынке и получение необходимых инвестиций на публичном фондовом рынке, увеличение капитализации фондового рынка в целом, путем проведения IPO с реализацией до 10 процентов акций дополнительного выпуска на фондовом рынке;</w:t>
      </w:r>
    </w:p>
    <w:p>
      <w:pPr>
        <w:spacing w:after="120"/>
        <w:jc w:val="both"/>
      </w:pPr>
      <w:r>
        <w:rPr>
          <w:rFonts w:ascii="Arial" w:cs="Arial" w:eastAsia="Arial" w:hAnsi="Arial"/>
          <w:sz w:val="24"/>
          <w:szCs w:val="24"/>
        </w:rPr>
        <w:t xml:space="preserve">содействие появлению новых эмитентов и создание новых налоговых стимулов для эмитентов, прошедших IPO;</w:t>
      </w:r>
    </w:p>
    <w:p>
      <w:pPr>
        <w:spacing w:after="120"/>
        <w:jc w:val="both"/>
      </w:pPr>
      <w:r>
        <w:rPr>
          <w:rFonts w:ascii="Arial" w:cs="Arial" w:eastAsia="Arial" w:hAnsi="Arial"/>
          <w:sz w:val="24"/>
          <w:szCs w:val="24"/>
        </w:rPr>
        <w:t xml:space="preserve">ускорить процесс передачи части пенсионных активов государственного накопительного пенсионного фонда под управление частных управляющих компаний;</w:t>
      </w:r>
    </w:p>
    <w:p>
      <w:pPr>
        <w:spacing w:after="120"/>
        <w:jc w:val="both"/>
      </w:pPr>
      <w:r>
        <w:rPr>
          <w:rFonts w:ascii="Arial" w:cs="Arial" w:eastAsia="Arial" w:hAnsi="Arial"/>
          <w:sz w:val="24"/>
          <w:szCs w:val="24"/>
        </w:rPr>
        <w:t xml:space="preserve">развитие институтов инвестиционного банкинга;</w:t>
      </w:r>
    </w:p>
    <w:p>
      <w:pPr>
        <w:spacing w:after="120"/>
        <w:jc w:val="both"/>
      </w:pPr>
      <w:r>
        <w:rPr>
          <w:rFonts w:ascii="Arial" w:cs="Arial" w:eastAsia="Arial" w:hAnsi="Arial"/>
          <w:sz w:val="24"/>
          <w:szCs w:val="24"/>
        </w:rPr>
        <w:t xml:space="preserve">повышение роли государства в продвижении и развитии фондового рынка через инструменты государственной поддержки;</w:t>
      </w:r>
    </w:p>
    <w:p>
      <w:pPr>
        <w:spacing w:after="120"/>
        <w:jc w:val="both"/>
      </w:pPr>
      <w:r>
        <w:rPr>
          <w:rFonts w:ascii="Arial" w:cs="Arial" w:eastAsia="Arial" w:hAnsi="Arial"/>
          <w:sz w:val="24"/>
          <w:szCs w:val="24"/>
        </w:rPr>
        <w:t xml:space="preserve">повышение инвестиционной грамотности.</w:t>
      </w:r>
    </w:p>
    <w:p>
      <w:pPr>
        <w:spacing w:after="240" w:before="200"/>
        <w:jc w:val="center"/>
      </w:pPr>
      <w:r>
        <w:rPr>
          <w:rFonts w:ascii="Arial" w:cs="Arial" w:eastAsia="Arial" w:hAnsi="Arial"/>
          <w:b/>
          <w:bCs/>
          <w:sz w:val="32"/>
          <w:szCs w:val="32"/>
        </w:rPr>
        <w:t xml:space="preserve">Глава 8. Ломбардная деятельность</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Стратегии является развитие механизмов функционирования рынка ломбардной деятельности в Кыргызской Республике, четкая регламентация деятельности ломбардов путем совершенствования законодательной базы, с учетом передового опыта развитых стран и национальных особенностей Кыргызской Республики.</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легализация деятельности ломбардов и охват лицензированием всех ломбардных организаций на территории Кыргызской Республики;</w:t>
      </w:r>
    </w:p>
    <w:p>
      <w:pPr>
        <w:spacing w:after="120"/>
        <w:jc w:val="both"/>
      </w:pPr>
      <w:r>
        <w:rPr>
          <w:rFonts w:ascii="Arial" w:cs="Arial" w:eastAsia="Arial" w:hAnsi="Arial"/>
          <w:sz w:val="24"/>
          <w:szCs w:val="24"/>
        </w:rPr>
        <w:t xml:space="preserve">- создание и совершенствование нормативной правовой и методологической базы для предпринимателей, осуществляющих ломбардную деятельность;</w:t>
      </w:r>
    </w:p>
    <w:p>
      <w:pPr>
        <w:spacing w:after="120"/>
        <w:jc w:val="both"/>
      </w:pPr>
      <w:r>
        <w:rPr>
          <w:rFonts w:ascii="Arial" w:cs="Arial" w:eastAsia="Arial" w:hAnsi="Arial"/>
          <w:sz w:val="24"/>
          <w:szCs w:val="24"/>
        </w:rPr>
        <w:t xml:space="preserve">- обеспечение защиты прав и интересов заемщиков через процессы регулирования деятельности ломбардов;</w:t>
      </w:r>
    </w:p>
    <w:p>
      <w:pPr>
        <w:spacing w:after="120"/>
        <w:jc w:val="both"/>
      </w:pPr>
      <w:r>
        <w:rPr>
          <w:rFonts w:ascii="Arial" w:cs="Arial" w:eastAsia="Arial" w:hAnsi="Arial"/>
          <w:sz w:val="24"/>
          <w:szCs w:val="24"/>
        </w:rPr>
        <w:t xml:space="preserve">- усиление требований к регулируемым субъектам по соблюдению предельных нормативов доходности и изъятия залогов.</w:t>
      </w:r>
    </w:p>
    <w:p>
      <w:pPr>
        <w:spacing w:after="120"/>
        <w:jc w:val="both"/>
      </w:pPr>
      <w:r>
        <w:rPr>
          <w:rFonts w:ascii="Arial" w:cs="Arial" w:eastAsia="Arial" w:hAnsi="Arial"/>
          <w:sz w:val="24"/>
          <w:szCs w:val="24"/>
        </w:rPr>
        <w:t xml:space="preserve">В целях легализации деятельности ломбардов необходимо проведение контрольных мероприятий и принятие Государственной службой регулирования и надзора за финансовым рынком при Министерстве экономики и финансов Кыргызской Республики мер по соблюдению всеми ломбардами на территории республики требований законов в части лицензионной деятельности, защиты прав и интересов заемщиков через постоянный контроль за деятельностью ломбардов, соблюдения ими установленных предельных нормативов.</w:t>
      </w:r>
    </w:p>
    <w:p>
      <w:pPr>
        <w:spacing w:after="120"/>
        <w:jc w:val="both"/>
      </w:pPr>
      <w:r>
        <w:rPr>
          <w:rFonts w:ascii="Arial" w:cs="Arial" w:eastAsia="Arial" w:hAnsi="Arial"/>
          <w:sz w:val="24"/>
          <w:szCs w:val="24"/>
        </w:rPr>
        <w:t xml:space="preserve">В целях обеспечения финансовой устойчивости ломбардов и учитывая инфляционные процессы, полагаем, что минимальный размер уставного капитала ломбардов необходимо довести к 2025 году до 3 млн сомов (увеличивая его по годам).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Страховая деятельность</w:t>
      </w:r>
    </w:p>
    <w:p>
      <w:pPr>
        <w:spacing w:after="120"/>
        <w:jc w:val="both"/>
      </w:pPr>
      <w:r>
        <w:rPr>
          <w:rFonts w:ascii="Arial" w:cs="Arial" w:eastAsia="Arial" w:hAnsi="Arial"/>
          <w:sz w:val="24"/>
          <w:szCs w:val="24"/>
        </w:rPr>
        <w:t xml:space="preserve">Основной целью государственной политики в страховой деятельности является превращение ее в стратегически значимый сектор национальной экономики, обеспечивающий: повышение экономической стабильности общества, снижение социальной напряженности и создание условий для привлечения инвестиционных ресурсов в экономику страны.</w:t>
      </w:r>
    </w:p>
    <w:p>
      <w:pPr>
        <w:spacing w:after="120"/>
        <w:jc w:val="both"/>
      </w:pPr>
      <w:r>
        <w:rPr>
          <w:rFonts w:ascii="Arial" w:cs="Arial" w:eastAsia="Arial" w:hAnsi="Arial"/>
          <w:sz w:val="24"/>
          <w:szCs w:val="24"/>
        </w:rPr>
        <w:t xml:space="preserve">Для достижения поставленной цели необходима реализация следующих задач:</w:t>
      </w:r>
    </w:p>
    <w:p>
      <w:pPr>
        <w:spacing w:after="120"/>
        <w:jc w:val="both"/>
      </w:pPr>
      <w:r>
        <w:rPr>
          <w:rFonts w:ascii="Arial" w:cs="Arial" w:eastAsia="Arial" w:hAnsi="Arial"/>
          <w:sz w:val="24"/>
          <w:szCs w:val="24"/>
        </w:rPr>
        <w:t xml:space="preserve">- совершенствование нормативной правовой базы в части повышения уровня защиты участников страховых правоотношений;</w:t>
      </w:r>
    </w:p>
    <w:p>
      <w:pPr>
        <w:spacing w:after="120"/>
        <w:jc w:val="both"/>
      </w:pPr>
      <w:r>
        <w:rPr>
          <w:rFonts w:ascii="Arial" w:cs="Arial" w:eastAsia="Arial" w:hAnsi="Arial"/>
          <w:sz w:val="24"/>
          <w:szCs w:val="24"/>
        </w:rPr>
        <w:t xml:space="preserve">- обеспечение исполнения хозяйствующими субъектами требований законодательства об обязательном страховании;</w:t>
      </w:r>
    </w:p>
    <w:p>
      <w:pPr>
        <w:spacing w:after="120"/>
        <w:jc w:val="both"/>
      </w:pPr>
      <w:r>
        <w:rPr>
          <w:rFonts w:ascii="Arial" w:cs="Arial" w:eastAsia="Arial" w:hAnsi="Arial"/>
          <w:sz w:val="24"/>
          <w:szCs w:val="24"/>
        </w:rPr>
        <w:t xml:space="preserve">- совершенствование системы надзора за страховыми организациями, в части повышения финансовой устойчивости и платежеспособности страховых организаций;</w:t>
      </w:r>
    </w:p>
    <w:p>
      <w:pPr>
        <w:spacing w:after="120"/>
        <w:jc w:val="both"/>
      </w:pPr>
      <w:r>
        <w:rPr>
          <w:rFonts w:ascii="Arial" w:cs="Arial" w:eastAsia="Arial" w:hAnsi="Arial"/>
          <w:sz w:val="24"/>
          <w:szCs w:val="24"/>
        </w:rPr>
        <w:t xml:space="preserve">- объединение усилий государственных органов и объединений страховщиков в развитии страхового рынка;</w:t>
      </w:r>
    </w:p>
    <w:p>
      <w:pPr>
        <w:spacing w:after="120"/>
        <w:jc w:val="both"/>
      </w:pPr>
      <w:r>
        <w:rPr>
          <w:rFonts w:ascii="Arial" w:cs="Arial" w:eastAsia="Arial" w:hAnsi="Arial"/>
          <w:sz w:val="24"/>
          <w:szCs w:val="24"/>
        </w:rPr>
        <w:t xml:space="preserve">- развитие добросовестной конкуренции на страховом рынке;</w:t>
      </w:r>
    </w:p>
    <w:p>
      <w:pPr>
        <w:spacing w:after="120"/>
        <w:jc w:val="both"/>
      </w:pPr>
      <w:r>
        <w:rPr>
          <w:rFonts w:ascii="Arial" w:cs="Arial" w:eastAsia="Arial" w:hAnsi="Arial"/>
          <w:sz w:val="24"/>
          <w:szCs w:val="24"/>
        </w:rPr>
        <w:t xml:space="preserve">- создание условий для вывода на рынок новых страховых продуктов;</w:t>
      </w:r>
    </w:p>
    <w:p>
      <w:pPr>
        <w:spacing w:after="120"/>
        <w:jc w:val="both"/>
      </w:pPr>
      <w:r>
        <w:rPr>
          <w:rFonts w:ascii="Arial" w:cs="Arial" w:eastAsia="Arial" w:hAnsi="Arial"/>
          <w:sz w:val="24"/>
          <w:szCs w:val="24"/>
        </w:rPr>
        <w:t xml:space="preserve">- повышение страховой культуры населения и популяризация инструментов страхования;</w:t>
      </w:r>
    </w:p>
    <w:p>
      <w:pPr>
        <w:spacing w:after="120"/>
        <w:jc w:val="both"/>
      </w:pPr>
      <w:r>
        <w:rPr>
          <w:rFonts w:ascii="Arial" w:cs="Arial" w:eastAsia="Arial" w:hAnsi="Arial"/>
          <w:sz w:val="24"/>
          <w:szCs w:val="24"/>
        </w:rPr>
        <w:t xml:space="preserve">Определяя перспективу развития страховой отрасли на среднесрочный период, регулятор должен исходить из правильного соотношения обязательного и добровольного страхования, а также следующих принципов:</w:t>
      </w:r>
    </w:p>
    <w:p>
      <w:pPr>
        <w:spacing w:after="120"/>
        <w:jc w:val="both"/>
      </w:pPr>
      <w:r>
        <w:rPr>
          <w:rFonts w:ascii="Arial" w:cs="Arial" w:eastAsia="Arial" w:hAnsi="Arial"/>
          <w:sz w:val="24"/>
          <w:szCs w:val="24"/>
        </w:rPr>
        <w:t xml:space="preserve">- соблюдение приоритета добровольной формы страхования над обязательной, с одновременным ограничением доли обязательных видов страхования;</w:t>
      </w:r>
    </w:p>
    <w:p>
      <w:pPr>
        <w:spacing w:after="120"/>
        <w:jc w:val="both"/>
      </w:pPr>
      <w:r>
        <w:rPr>
          <w:rFonts w:ascii="Arial" w:cs="Arial" w:eastAsia="Arial" w:hAnsi="Arial"/>
          <w:sz w:val="24"/>
          <w:szCs w:val="24"/>
        </w:rPr>
        <w:t xml:space="preserve">- использование страхования в качестве дополнительного элемента к иным методам и формам обеспечения гражданской ответственности и исполнения обязательств;</w:t>
      </w:r>
    </w:p>
    <w:p>
      <w:pPr>
        <w:spacing w:after="120"/>
        <w:jc w:val="both"/>
      </w:pPr>
      <w:r>
        <w:rPr>
          <w:rFonts w:ascii="Arial" w:cs="Arial" w:eastAsia="Arial" w:hAnsi="Arial"/>
          <w:sz w:val="24"/>
          <w:szCs w:val="24"/>
        </w:rPr>
        <w:t xml:space="preserve">- введение новых обязательных видов страхования исключительно при наличии высокого уровня риска, представляющего угрозу для большого числа объектов, в размере, заведомо превышающем возможность его компенсации самим объектом, причинившим вред, эффективности и выгодности страхования по сравнению с другими инструментами управления рисками.</w:t>
      </w:r>
    </w:p>
    <w:p>
      <w:pPr>
        <w:spacing w:after="120"/>
        <w:jc w:val="both"/>
      </w:pPr>
      <w:r>
        <w:rPr>
          <w:rFonts w:ascii="Arial" w:cs="Arial" w:eastAsia="Arial" w:hAnsi="Arial"/>
          <w:sz w:val="24"/>
          <w:szCs w:val="24"/>
        </w:rPr>
        <w:t xml:space="preserve">В целях недопущения дискриминации прав и интересов граждан, жизни и здоровью которых причинен вред, в зависимости от обстоятельств причинения вреда, выражающегося в колебании размеров страховых выплат, следует реализовать следующие меры на рынке:</w:t>
      </w:r>
    </w:p>
    <w:p>
      <w:pPr>
        <w:spacing w:after="120"/>
        <w:jc w:val="both"/>
      </w:pPr>
      <w:r>
        <w:rPr>
          <w:rFonts w:ascii="Arial" w:cs="Arial" w:eastAsia="Arial" w:hAnsi="Arial"/>
          <w:sz w:val="24"/>
          <w:szCs w:val="24"/>
        </w:rPr>
        <w:t xml:space="preserve">- провести поэтапную унификацию размеров страховых сумм в части возмещения вреда, причиненного жизни и здоровью потерпевших (застрахованных лиц);</w:t>
      </w:r>
    </w:p>
    <w:p>
      <w:pPr>
        <w:spacing w:after="120"/>
        <w:jc w:val="both"/>
      </w:pPr>
      <w:r>
        <w:rPr>
          <w:rFonts w:ascii="Arial" w:cs="Arial" w:eastAsia="Arial" w:hAnsi="Arial"/>
          <w:sz w:val="24"/>
          <w:szCs w:val="24"/>
        </w:rPr>
        <w:t xml:space="preserve">- законодательно закрепить единые подходы к определению размера ущерба, причиненного жизни, здоровью потерпевших, а также выработать единые подходы и методики для определения размера убытков, вызванных повреждением имущества;</w:t>
      </w:r>
    </w:p>
    <w:p>
      <w:pPr>
        <w:spacing w:after="120"/>
        <w:jc w:val="both"/>
      </w:pPr>
      <w:r>
        <w:rPr>
          <w:rFonts w:ascii="Arial" w:cs="Arial" w:eastAsia="Arial" w:hAnsi="Arial"/>
          <w:sz w:val="24"/>
          <w:szCs w:val="24"/>
        </w:rPr>
        <w:t xml:space="preserve">- систематически (не реже одного раза в пять лет) проводить корректировку размеров страховых сумм и компенсаций, с учетом изменения уровня жизни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Аудиторская деятельность</w:t>
      </w:r>
    </w:p>
    <w:p>
      <w:pPr>
        <w:spacing w:after="120"/>
        <w:jc w:val="both"/>
      </w:pPr>
      <w:r>
        <w:rPr>
          <w:rFonts w:ascii="Arial" w:cs="Arial" w:eastAsia="Arial" w:hAnsi="Arial"/>
          <w:sz w:val="24"/>
          <w:szCs w:val="24"/>
        </w:rPr>
        <w:t xml:space="preserve">Целью Стратегии в этой сфере является повышение качества аудиторской деятельности и конкурентоспособности отечественных аудиторских организаций.</w:t>
      </w:r>
    </w:p>
    <w:p>
      <w:pPr>
        <w:spacing w:after="120"/>
        <w:jc w:val="both"/>
      </w:pPr>
      <w:r>
        <w:rPr>
          <w:rFonts w:ascii="Arial" w:cs="Arial" w:eastAsia="Arial" w:hAnsi="Arial"/>
          <w:sz w:val="24"/>
          <w:szCs w:val="24"/>
        </w:rPr>
        <w:t xml:space="preserve">Для достижения поставленной цели предусматривается решение следующих основных задач: </w:t>
      </w:r>
    </w:p>
    <w:p>
      <w:pPr>
        <w:spacing w:after="120"/>
        <w:jc w:val="both"/>
      </w:pPr>
      <w:r>
        <w:rPr>
          <w:rFonts w:ascii="Arial" w:cs="Arial" w:eastAsia="Arial" w:hAnsi="Arial"/>
          <w:sz w:val="24"/>
          <w:szCs w:val="24"/>
        </w:rPr>
        <w:t xml:space="preserve">- совершенствование нормативной правовой базы Кыргызской Республики в сфере аудиторской деятельности;</w:t>
      </w:r>
    </w:p>
    <w:p>
      <w:pPr>
        <w:spacing w:after="120"/>
        <w:jc w:val="both"/>
      </w:pPr>
      <w:r>
        <w:rPr>
          <w:rFonts w:ascii="Arial" w:cs="Arial" w:eastAsia="Arial" w:hAnsi="Arial"/>
          <w:sz w:val="24"/>
          <w:szCs w:val="24"/>
        </w:rPr>
        <w:t xml:space="preserve">- гармонизация законодательства Кыргызской Республики с международными договорами и актами, составляющими право ЕАЭС;</w:t>
      </w:r>
    </w:p>
    <w:p>
      <w:pPr>
        <w:spacing w:after="120"/>
        <w:jc w:val="both"/>
      </w:pPr>
      <w:r>
        <w:rPr>
          <w:rFonts w:ascii="Arial" w:cs="Arial" w:eastAsia="Arial" w:hAnsi="Arial"/>
          <w:sz w:val="24"/>
          <w:szCs w:val="24"/>
        </w:rPr>
        <w:t xml:space="preserve">- усиление надзорных и регулятивных функций в области аудита, и повышение контроля за качеством аудита;</w:t>
      </w:r>
    </w:p>
    <w:p>
      <w:pPr>
        <w:spacing w:after="120"/>
        <w:jc w:val="both"/>
      </w:pPr>
      <w:r>
        <w:rPr>
          <w:rFonts w:ascii="Arial" w:cs="Arial" w:eastAsia="Arial" w:hAnsi="Arial"/>
          <w:sz w:val="24"/>
          <w:szCs w:val="24"/>
        </w:rPr>
        <w:t xml:space="preserve">- совершенствование системы сертификации аудиторов.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Накопительная пенсионная система</w:t>
      </w:r>
    </w:p>
    <w:p>
      <w:pPr>
        <w:spacing w:after="120"/>
        <w:jc w:val="both"/>
      </w:pPr>
      <w:r>
        <w:rPr>
          <w:rFonts w:ascii="Arial" w:cs="Arial" w:eastAsia="Arial" w:hAnsi="Arial"/>
          <w:sz w:val="24"/>
          <w:szCs w:val="24"/>
        </w:rPr>
        <w:t xml:space="preserve">Основной целью развития накопительного пенсионного обеспечения в Кыргызской Республике является введение дополнительных видов негосударственного пенсионного страхования граждан, создание нормативной правовой базы деятельности накопительных пенсионных фондов в Кыргызской Республике, повышение эффективности их деятельности и улучшение пенсионного обеспечения граждан за счет формирования и инвестирования средств пенсионных накоплений.</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развитие системы негосударственного пенсионного обеспечения в Кыргызской Республике;</w:t>
      </w:r>
    </w:p>
    <w:p>
      <w:pPr>
        <w:spacing w:after="120"/>
        <w:jc w:val="both"/>
      </w:pPr>
      <w:r>
        <w:rPr>
          <w:rFonts w:ascii="Arial" w:cs="Arial" w:eastAsia="Arial" w:hAnsi="Arial"/>
          <w:sz w:val="24"/>
          <w:szCs w:val="24"/>
        </w:rPr>
        <w:t xml:space="preserve">- создание правовых основ функционирования корпоративных и профессиональных пенсионных фондов, и предоставление возможности широкого охвата населения дополнительными видами пенсионного обеспечения;</w:t>
      </w:r>
    </w:p>
    <w:p>
      <w:pPr>
        <w:spacing w:after="120"/>
        <w:jc w:val="both"/>
      </w:pPr>
      <w:r>
        <w:rPr>
          <w:rFonts w:ascii="Arial" w:cs="Arial" w:eastAsia="Arial" w:hAnsi="Arial"/>
          <w:sz w:val="24"/>
          <w:szCs w:val="24"/>
        </w:rPr>
        <w:t xml:space="preserve">- создание условий для участия в управлении пенсионными активами, повышение эффективности деятельности накопительных пенсионных фондов, создание прозрачной и доступной системы контроля над инвестированием средств пенсионных накоплений.</w:t>
      </w:r>
    </w:p>
    <w:p>
      <w:pPr>
        <w:spacing w:after="120"/>
        <w:jc w:val="both"/>
      </w:pPr>
      <w:r>
        <w:rPr>
          <w:rFonts w:ascii="Arial" w:cs="Arial" w:eastAsia="Arial" w:hAnsi="Arial"/>
          <w:sz w:val="24"/>
          <w:szCs w:val="24"/>
        </w:rPr>
        <w:t xml:space="preserve">Система негосударственного пенсионного обеспечения реализуется почти во всех странах с развитой рыночной экономикой. Причем чаще всего государственные и накопительные пенсионные системы обеспечения дополняют друг друга, усиливая социальную защиту пенсионеров.</w:t>
      </w:r>
    </w:p>
    <w:p>
      <w:pPr>
        <w:spacing w:after="120"/>
        <w:jc w:val="both"/>
      </w:pPr>
      <w:r>
        <w:rPr>
          <w:rFonts w:ascii="Arial" w:cs="Arial" w:eastAsia="Arial" w:hAnsi="Arial"/>
          <w:sz w:val="24"/>
          <w:szCs w:val="24"/>
        </w:rPr>
        <w:t xml:space="preserve">В отличие от таких стран, как Республика Казахстан и Российская Федерация, в Кыргызской Республике пока еще медленно происходит процесс развития инвестиционных институтов, в том числе накопительных пенсионных фондов. Это связано с разными темпами роста экономики наших стран и их масштабов, а также различиями в законодательной базе.</w:t>
      </w:r>
    </w:p>
    <w:p>
      <w:pPr>
        <w:spacing w:after="120"/>
        <w:jc w:val="both"/>
      </w:pPr>
      <w:r>
        <w:rPr>
          <w:rFonts w:ascii="Arial" w:cs="Arial" w:eastAsia="Arial" w:hAnsi="Arial"/>
          <w:sz w:val="24"/>
          <w:szCs w:val="24"/>
        </w:rPr>
        <w:t xml:space="preserve">Накопительные пенсионные фонды – это один из основных видов негосударственного пенсионного обеспечения, это шанс на достойную жизнь в старости при незначительных вложениях, надбавка к основной государственной пенсии для пенсионеров, возможность завещать свои пенсионные накопления по наследству. В этой связи целесообразно было бы привлекать в такие фонды денежные средства от кыргызстанских мигрантов, трудящихся в зарубежных странах.</w:t>
      </w:r>
    </w:p>
    <w:p>
      <w:pPr>
        <w:spacing w:after="120"/>
        <w:jc w:val="both"/>
      </w:pPr>
      <w:r>
        <w:rPr>
          <w:rFonts w:ascii="Arial" w:cs="Arial" w:eastAsia="Arial" w:hAnsi="Arial"/>
          <w:sz w:val="24"/>
          <w:szCs w:val="24"/>
        </w:rPr>
        <w:t xml:space="preserve">Создание системы негосударственного пенсионного обеспечения в условиях пенсионной реформы приведет к следующим положительным результатам:</w:t>
      </w:r>
    </w:p>
    <w:p>
      <w:pPr>
        <w:spacing w:after="120"/>
        <w:jc w:val="both"/>
      </w:pPr>
      <w:r>
        <w:rPr>
          <w:rFonts w:ascii="Arial" w:cs="Arial" w:eastAsia="Arial" w:hAnsi="Arial"/>
          <w:sz w:val="24"/>
          <w:szCs w:val="24"/>
        </w:rPr>
        <w:t xml:space="preserve">- самофинансированию пенсий и повышению финансовой устойчивости пенсионной системы;</w:t>
      </w:r>
    </w:p>
    <w:p>
      <w:pPr>
        <w:spacing w:after="120"/>
        <w:jc w:val="both"/>
      </w:pPr>
      <w:r>
        <w:rPr>
          <w:rFonts w:ascii="Arial" w:cs="Arial" w:eastAsia="Arial" w:hAnsi="Arial"/>
          <w:sz w:val="24"/>
          <w:szCs w:val="24"/>
        </w:rPr>
        <w:t xml:space="preserve">- привлечению и удержанию квалифицированной рабочей силы;</w:t>
      </w:r>
    </w:p>
    <w:p>
      <w:pPr>
        <w:spacing w:after="120"/>
        <w:jc w:val="both"/>
      </w:pPr>
      <w:r>
        <w:rPr>
          <w:rFonts w:ascii="Arial" w:cs="Arial" w:eastAsia="Arial" w:hAnsi="Arial"/>
          <w:sz w:val="24"/>
          <w:szCs w:val="24"/>
        </w:rPr>
        <w:t xml:space="preserve">- установлению рационального соотношения между размером пенсии и уровнем заработной платы;</w:t>
      </w:r>
    </w:p>
    <w:p>
      <w:pPr>
        <w:spacing w:after="120"/>
        <w:jc w:val="both"/>
      </w:pPr>
      <w:r>
        <w:rPr>
          <w:rFonts w:ascii="Arial" w:cs="Arial" w:eastAsia="Arial" w:hAnsi="Arial"/>
          <w:sz w:val="24"/>
          <w:szCs w:val="24"/>
        </w:rPr>
        <w:t xml:space="preserve">- предоставлению гражданам свободы выбора времени выхода на пенсию и варианта пенсионных выплат, возможности планировать и увеличивать уровень их пенсионного обеспечения;</w:t>
      </w:r>
    </w:p>
    <w:p>
      <w:pPr>
        <w:spacing w:after="120"/>
        <w:jc w:val="both"/>
      </w:pPr>
      <w:r>
        <w:rPr>
          <w:rFonts w:ascii="Arial" w:cs="Arial" w:eastAsia="Arial" w:hAnsi="Arial"/>
          <w:sz w:val="24"/>
          <w:szCs w:val="24"/>
        </w:rPr>
        <w:t xml:space="preserve">- реализации реального социального партнерства основных субъектов государства, работодателя и работника, решению одновременно социальных (повышение размера пенсий и стабилизация рынка труда) и финансовых задач (увеличение инвестиционных ресурсов для экономического роста).</w:t>
      </w:r>
    </w:p>
    <w:p>
      <w:pPr>
        <w:spacing w:after="120"/>
        <w:jc w:val="both"/>
      </w:pPr>
      <w:r>
        <w:rPr>
          <w:rFonts w:ascii="Arial" w:cs="Arial" w:eastAsia="Arial" w:hAnsi="Arial"/>
          <w:sz w:val="24"/>
          <w:szCs w:val="24"/>
        </w:rPr>
        <w:t xml:space="preserve">Основным результатом реализации указанных предложений должны стать: изменение инвестиционного поведения населения, привлечение сбережений граждан на финансовый рынок, а также эффективная реализация пенсионной реформы.</w:t>
      </w:r>
    </w:p>
    <w:p>
      <w:pPr>
        <w:spacing w:after="120"/>
        <w:jc w:val="both"/>
      </w:pPr>
      <w:r>
        <w:rPr>
          <w:rFonts w:ascii="Arial" w:cs="Arial" w:eastAsia="Arial" w:hAnsi="Arial"/>
          <w:sz w:val="24"/>
          <w:szCs w:val="24"/>
        </w:rPr>
        <w:t xml:space="preserve">Пенсионные фонды, как и все другие экономические институты, действуют в условиях внешней экономической среды, которая для их деятельности тоже является рискованной. Деятельность накопительных пенсионных фондов имеет долгосрочный характер финансовых отношений с вкладчиками, поэтому возможность полностью избежать рисков минимальна.</w:t>
      </w:r>
    </w:p>
    <w:p>
      <w:pPr>
        <w:spacing w:after="120"/>
        <w:jc w:val="both"/>
      </w:pPr>
      <w:r>
        <w:rPr>
          <w:rFonts w:ascii="Arial" w:cs="Arial" w:eastAsia="Arial" w:hAnsi="Arial"/>
          <w:sz w:val="24"/>
          <w:szCs w:val="24"/>
        </w:rPr>
        <w:t xml:space="preserve">Основными факторами риска для накопительных пенсионных фондов могут быть политические риски, связанные с изменением законодательства; экономические риски, связанные с ограничением привлекательных и надежных инструментов инвестирования, и налоговые риски. Демографические риски, связанные с ухудшением демографической ситуации: сокращение численности трудоспособного населения, старение населения. Все эти факторы влияют на снижение объема поступлений страховых взносов. К числу социальных факторов, негативно влияющих на деятельность накопительных фондов, можно отнести рост безработицы, уменьшение доходов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Лотерейная деятельность</w:t>
      </w:r>
    </w:p>
    <w:p>
      <w:pPr>
        <w:spacing w:after="120"/>
        <w:jc w:val="both"/>
      </w:pPr>
      <w:r>
        <w:rPr>
          <w:rFonts w:ascii="Arial" w:cs="Arial" w:eastAsia="Arial" w:hAnsi="Arial"/>
          <w:sz w:val="24"/>
          <w:szCs w:val="24"/>
        </w:rPr>
        <w:t xml:space="preserve">Основной целью развития лотерейной деятельности является совершенствование механизмов функционирования рынка в Кыргызской Республике, отсутствие четких и прозрачных правил проведения лотерей, содействие использованию доходов от лотерейной деятельности для финансирования и решения социально-экономических задач.</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совершенствование нормативной правовой базы для предпринимателей, осуществляющих лотерейную деятельность;</w:t>
      </w:r>
    </w:p>
    <w:p>
      <w:pPr>
        <w:spacing w:after="120"/>
        <w:jc w:val="both"/>
      </w:pPr>
      <w:r>
        <w:rPr>
          <w:rFonts w:ascii="Arial" w:cs="Arial" w:eastAsia="Arial" w:hAnsi="Arial"/>
          <w:sz w:val="24"/>
          <w:szCs w:val="24"/>
        </w:rPr>
        <w:t xml:space="preserve">- обеспечение защиты прав и законных интересов участников лотереи;</w:t>
      </w:r>
    </w:p>
    <w:p>
      <w:pPr>
        <w:spacing w:after="120"/>
        <w:jc w:val="both"/>
      </w:pPr>
      <w:r>
        <w:rPr>
          <w:rFonts w:ascii="Arial" w:cs="Arial" w:eastAsia="Arial" w:hAnsi="Arial"/>
          <w:sz w:val="24"/>
          <w:szCs w:val="24"/>
        </w:rPr>
        <w:t xml:space="preserve">- обеспечение равенства условий участия в лотерее, предполагающего равенство шансов участников лотереи на выигрыш;</w:t>
      </w:r>
    </w:p>
    <w:p>
      <w:pPr>
        <w:spacing w:after="120"/>
        <w:jc w:val="both"/>
      </w:pPr>
      <w:r>
        <w:rPr>
          <w:rFonts w:ascii="Arial" w:cs="Arial" w:eastAsia="Arial" w:hAnsi="Arial"/>
          <w:sz w:val="24"/>
          <w:szCs w:val="24"/>
        </w:rPr>
        <w:t xml:space="preserve">-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120"/>
        <w:jc w:val="both"/>
      </w:pPr>
      <w:r>
        <w:rPr>
          <w:rFonts w:ascii="Arial" w:cs="Arial" w:eastAsia="Arial" w:hAnsi="Arial"/>
          <w:sz w:val="24"/>
          <w:szCs w:val="24"/>
        </w:rPr>
        <w:t xml:space="preserve">- создание и поддержание доверия к государственной лотерее;</w:t>
      </w:r>
    </w:p>
    <w:p>
      <w:pPr>
        <w:spacing w:after="120"/>
        <w:jc w:val="both"/>
      </w:pPr>
      <w:r>
        <w:rPr>
          <w:rFonts w:ascii="Arial" w:cs="Arial" w:eastAsia="Arial" w:hAnsi="Arial"/>
          <w:sz w:val="24"/>
          <w:szCs w:val="24"/>
        </w:rPr>
        <w:t xml:space="preserve">- стимулирование интереса к участию в лотерее, и увеличение продаж лотерейных билетов.</w:t>
      </w:r>
    </w:p>
    <w:p>
      <w:pPr>
        <w:spacing w:after="120"/>
        <w:jc w:val="both"/>
      </w:pPr>
      <w:r>
        <w:rPr>
          <w:rFonts w:ascii="Arial" w:cs="Arial" w:eastAsia="Arial" w:hAnsi="Arial"/>
          <w:sz w:val="24"/>
          <w:szCs w:val="24"/>
        </w:rPr>
        <w:t xml:space="preserve">В целях совершенствования законодательства Кыргызской Республики необходимо внести изменения в части уточнения понятия «лотерейная деятельность», «норм отчетности по лотерейной деятельности».</w:t>
      </w:r>
    </w:p>
    <w:p>
      <w:pPr>
        <w:spacing w:after="120"/>
        <w:jc w:val="both"/>
      </w:pPr>
      <w:r>
        <w:rPr>
          <w:rFonts w:ascii="Arial" w:cs="Arial" w:eastAsia="Arial" w:hAnsi="Arial"/>
          <w:sz w:val="24"/>
          <w:szCs w:val="24"/>
        </w:rPr>
        <w:t xml:space="preserve">В частности, согласно статье 1 Закона Кыргызской Республики «О лотереях» лотерейная деятельность специфический вид деятельности, не являющийся реализацией товаров (работ и услуг). Данная норма ограничивает деятельность компании по реализации товаров, а именно услуг. Предусматриваемые изменения в законодательстве о том, что лотерейная деятельность является реализацией услуг, создаст условия и предоставит возможность для привлечения инвесторов.</w:t>
      </w:r>
    </w:p>
    <w:p>
      <w:pPr>
        <w:spacing w:after="120"/>
        <w:jc w:val="both"/>
      </w:pPr>
      <w:r>
        <w:rPr>
          <w:rFonts w:ascii="Arial" w:cs="Arial" w:eastAsia="Arial" w:hAnsi="Arial"/>
          <w:sz w:val="24"/>
          <w:szCs w:val="24"/>
        </w:rPr>
        <w:t xml:space="preserve">Также, согласно части 2 статьи 18 указанного Закона отчетность по лотерее представляется в уполномоченный орган ежемесячно, не позднее десятого числа месяца, следующего за отчетным периодом. В то же время, согласно части 3 статьи 18 данного Закона отчет по каждой завершенной лотерее представляется в уполномоченный орган в месячный срок со дня ее завершения. Таким образом, две статьи одного Закона противоречат друг другу, в связи с чем требуется внесение ясности в требования законодательства.</w:t>
      </w:r>
    </w:p>
    <w:p>
      <w:pPr>
        <w:spacing w:after="120"/>
        <w:jc w:val="both"/>
      </w:pPr>
      <w:r>
        <w:rPr>
          <w:rFonts w:ascii="Arial" w:cs="Arial" w:eastAsia="Arial" w:hAnsi="Arial"/>
          <w:sz w:val="24"/>
          <w:szCs w:val="24"/>
        </w:rPr>
        <w:t xml:space="preserve">Для улучшения деятельности по проведению лотерей необходимо Государственной службе регулирования и надзора за финансовым рынком при Министерстве экономики и финансов Кыргызской Республики принять меры по защите прав и интересов участников лотерей через постоянный контроль за лотерейной деятельностью, соблюдением равных условий участия при проведении лотереи, широкое освещение в средствах массовой информации деятельности по лотерее, повышение стимулов, учреждением призов, повышением интереса и доверия к проводимым лотереям.</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w:t>
      </w:r>
      <w:r>
        <w:rPr>
          <w:rFonts w:ascii="Arial" w:cs="Arial" w:eastAsia="Arial" w:hAnsi="Arial"/>
          <w:b/>
          <w:bCs/>
          <w:sz w:val="24"/>
          <w:szCs w:val="24"/>
        </w:rPr>
        <w:t xml:space="preserve">л </w:t>
      </w:r>
      <w:r>
        <w:rPr>
          <w:rFonts w:ascii="Arial" w:cs="Arial" w:eastAsia="Arial" w:hAnsi="Arial"/>
          <w:b/>
          <w:bCs/>
          <w:sz w:val="24"/>
          <w:szCs w:val="24"/>
        </w:rPr>
        <w:t xml:space="preserve">III</w:t>
      </w:r>
      <w:r>
        <w:rPr>
          <w:rFonts w:ascii="Arial" w:cs="Arial" w:eastAsia="Arial" w:hAnsi="Arial"/>
          <w:b/>
          <w:bCs/>
          <w:sz w:val="24"/>
          <w:szCs w:val="24"/>
        </w:rPr>
        <w:t xml:space="preserve"> Основные целевые показатели и индикаторы, достигаемые Стратегией до 2025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Рынок ценных бумаг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целевыми показателями развития рынка ценных бумаг являются следующие индикаторы:</w:t>
      </w:r>
    </w:p>
    <w:p>
      <w:pPr>
        <w:spacing w:after="120"/>
        <w:jc w:val="both"/>
      </w:pPr>
      <w:r>
        <w:rPr>
          <w:rFonts w:ascii="Arial" w:cs="Arial" w:eastAsia="Arial" w:hAnsi="Arial"/>
          <w:sz w:val="24"/>
          <w:szCs w:val="24"/>
        </w:rPr>
        <w:t xml:space="preserve">объем эмиссии ценных бумаг на публичном рынке – это основной целевой показатель. Необходимо стремиться к увеличению выпуска в обращение публичных ценных бумаг, что будет способствовать увеличению институциональных и розничных инвестиций в экономику Кыргызской Республики. Необходимо вовлеченье коммерческих банков, бизнес и население страны к инвестициям на рынке ценных бумаг. Соотношение объема биржевой торговли ценными бумагами и капитализации рынка ценных бумаг должны неуклонно расти из года в год на 6 7 %;</w:t>
      </w:r>
    </w:p>
    <w:p>
      <w:pPr>
        <w:spacing w:after="120"/>
        <w:jc w:val="both"/>
      </w:pPr>
      <w:r>
        <w:rPr>
          <w:rFonts w:ascii="Arial" w:cs="Arial" w:eastAsia="Arial" w:hAnsi="Arial"/>
          <w:sz w:val="24"/>
          <w:szCs w:val="24"/>
        </w:rPr>
        <w:t xml:space="preserve">доля акций, находящихся в свободном обращении (free float), по национальному рынку акций в целом, в % к общему объему акций в обращении, должна составлять как минимум 10 % от объема их выпуска, в особенности для стратегических компаний с государственной долей участия. По состоянию на 1 января 2020 года доля акций, находящихся в свободном обращении (free float) листинговых компаний с долей участия государства, составляет от 3,7 % до 49 %;</w:t>
      </w:r>
    </w:p>
    <w:p>
      <w:pPr>
        <w:spacing w:after="120"/>
        <w:jc w:val="both"/>
      </w:pPr>
      <w:r>
        <w:rPr>
          <w:rFonts w:ascii="Arial" w:cs="Arial" w:eastAsia="Arial" w:hAnsi="Arial"/>
          <w:sz w:val="24"/>
          <w:szCs w:val="24"/>
        </w:rPr>
        <w:t xml:space="preserve">доля услуг финансового сектора, связанная с рынком ценных бумаг, должна достичь в течение 5 лет 5 % от ВВП. По состоянию на 1 января 2020 года доля услуг финансового сектора, связанная с рынком ценных бумаг от ВВП за 2019 год, составляет 1,2%.</w:t>
      </w:r>
    </w:p>
    <w:p>
      <w:pPr>
        <w:spacing w:after="120"/>
        <w:jc w:val="both"/>
      </w:pPr>
      <w:r>
        <w:rPr>
          <w:rFonts w:ascii="Arial" w:cs="Arial" w:eastAsia="Arial" w:hAnsi="Arial"/>
          <w:sz w:val="24"/>
          <w:szCs w:val="24"/>
        </w:rPr>
        <w:t xml:space="preserve">Ожидаемыми результатами в области рынка ценных бумаг от реализации Стратегии являются:</w:t>
      </w:r>
    </w:p>
    <w:p>
      <w:pPr>
        <w:spacing w:after="120"/>
        <w:jc w:val="both"/>
      </w:pPr>
      <w:r>
        <w:rPr>
          <w:rFonts w:ascii="Arial" w:cs="Arial" w:eastAsia="Arial" w:hAnsi="Arial"/>
          <w:sz w:val="24"/>
          <w:szCs w:val="24"/>
        </w:rPr>
        <w:t xml:space="preserve">- всестороннее развитие и укрепление фондового рынка (его инфраструктуры), активизация фондового рынка, рост инвестирования, что будет также способствовать плавной интеграции в фондовый рынок ЕАЭС;</w:t>
      </w:r>
    </w:p>
    <w:p>
      <w:pPr>
        <w:spacing w:after="120"/>
        <w:jc w:val="both"/>
      </w:pPr>
      <w:r>
        <w:rPr>
          <w:rFonts w:ascii="Arial" w:cs="Arial" w:eastAsia="Arial" w:hAnsi="Arial"/>
          <w:sz w:val="24"/>
          <w:szCs w:val="24"/>
        </w:rPr>
        <w:t xml:space="preserve">- выпуск новых финансовых инструментов;</w:t>
      </w:r>
    </w:p>
    <w:p>
      <w:pPr>
        <w:spacing w:after="120"/>
        <w:jc w:val="both"/>
      </w:pPr>
      <w:r>
        <w:rPr>
          <w:rFonts w:ascii="Arial" w:cs="Arial" w:eastAsia="Arial" w:hAnsi="Arial"/>
          <w:sz w:val="24"/>
          <w:szCs w:val="24"/>
        </w:rPr>
        <w:t xml:space="preserve">- сокращение транзакционных издержек рынка на защиту от недобросовестного поведения на рынке ценных бумаг;</w:t>
      </w:r>
    </w:p>
    <w:p>
      <w:pPr>
        <w:spacing w:after="120"/>
        <w:jc w:val="both"/>
      </w:pPr>
      <w:r>
        <w:rPr>
          <w:rFonts w:ascii="Arial" w:cs="Arial" w:eastAsia="Arial" w:hAnsi="Arial"/>
          <w:sz w:val="24"/>
          <w:szCs w:val="24"/>
        </w:rPr>
        <w:t xml:space="preserve">- цифровое управление рынком ценных бумаг;</w:t>
      </w:r>
    </w:p>
    <w:p>
      <w:pPr>
        <w:spacing w:after="120"/>
        <w:jc w:val="both"/>
      </w:pPr>
      <w:r>
        <w:rPr>
          <w:rFonts w:ascii="Arial" w:cs="Arial" w:eastAsia="Arial" w:hAnsi="Arial"/>
          <w:sz w:val="24"/>
          <w:szCs w:val="24"/>
        </w:rPr>
        <w:t xml:space="preserve">- повышение информационной прозрачности, доступности финансовых услуг для потребителя, уровня финансовой грамотности населения по вопросам использования финансовых инструментов, вовлечение и активное участие населения на фондовом рынке, увеличение объема сделок с ценными бумагами на фондовом рынке;</w:t>
      </w:r>
    </w:p>
    <w:p>
      <w:pPr>
        <w:spacing w:after="120"/>
        <w:jc w:val="both"/>
      </w:pPr>
      <w:r>
        <w:rPr>
          <w:rFonts w:ascii="Arial" w:cs="Arial" w:eastAsia="Arial" w:hAnsi="Arial"/>
          <w:sz w:val="24"/>
          <w:szCs w:val="24"/>
        </w:rPr>
        <w:t xml:space="preserve">- снижение издержек экономики от реализации финансовых рисков;</w:t>
      </w:r>
    </w:p>
    <w:p>
      <w:pPr>
        <w:spacing w:after="120"/>
        <w:jc w:val="both"/>
      </w:pPr>
      <w:r>
        <w:rPr>
          <w:rFonts w:ascii="Arial" w:cs="Arial" w:eastAsia="Arial" w:hAnsi="Arial"/>
          <w:sz w:val="24"/>
          <w:szCs w:val="24"/>
        </w:rPr>
        <w:t xml:space="preserve">- стабильный финансовый рынок, обладающий активами и капиталом для поддержки экономического роста, развития частного бизнеса и удовлетворения потребностей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Ломбардная деятельность</w:t>
      </w:r>
    </w:p>
    <w:p>
      <w:pPr>
        <w:spacing w:after="120"/>
        <w:jc w:val="both"/>
      </w:pPr>
      <w:r>
        <w:rPr>
          <w:rFonts w:ascii="Arial" w:cs="Arial" w:eastAsia="Arial" w:hAnsi="Arial"/>
          <w:sz w:val="24"/>
          <w:szCs w:val="24"/>
        </w:rPr>
        <w:t xml:space="preserve">Стратегическое развитие рынка ломбардной деятельности позволит добиться следующих результатов:</w:t>
      </w:r>
    </w:p>
    <w:p>
      <w:pPr>
        <w:spacing w:after="120"/>
        <w:jc w:val="both"/>
      </w:pPr>
      <w:r>
        <w:rPr>
          <w:rFonts w:ascii="Arial" w:cs="Arial" w:eastAsia="Arial" w:hAnsi="Arial"/>
          <w:sz w:val="24"/>
          <w:szCs w:val="24"/>
        </w:rPr>
        <w:t xml:space="preserve">- создание и развитие механизма функционирования рынка ломбардной деятельности в Кыргызской Республике;</w:t>
      </w:r>
    </w:p>
    <w:p>
      <w:pPr>
        <w:spacing w:after="120"/>
        <w:jc w:val="both"/>
      </w:pPr>
      <w:r>
        <w:rPr>
          <w:rFonts w:ascii="Arial" w:cs="Arial" w:eastAsia="Arial" w:hAnsi="Arial"/>
          <w:sz w:val="24"/>
          <w:szCs w:val="24"/>
        </w:rPr>
        <w:t xml:space="preserve">- поступление денежных средств в виде налогов и иных платежей в бюджет страны.</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от 8 июня 2017 года № 353 «О вопросах ломбардной деятельности», установлены требования к минимальному размеру уставного капитала ломбардов в размере не менее 500 000 (пятьсот тысяч) сомов.</w:t>
      </w:r>
    </w:p>
    <w:p>
      <w:pPr>
        <w:spacing w:after="120"/>
        <w:jc w:val="both"/>
      </w:pPr>
      <w:r>
        <w:rPr>
          <w:rFonts w:ascii="Arial" w:cs="Arial" w:eastAsia="Arial" w:hAnsi="Arial"/>
          <w:sz w:val="24"/>
          <w:szCs w:val="24"/>
        </w:rPr>
        <w:t xml:space="preserve">Для обеспечения финансовой устойчивости ломбардов, поддержания необходимого минимального размера уставного капитала, расширения возможностей предоставления кредитных ресурсов, учитывая незначительный размер уставного капитала, а также инфляционные процессы в будущем, полагаем, что минимальный размер уставного капитала ломбардов требует пересмотра и доведения его размера до 3 млн сомов в 2025 году. Предлагаются необходимые минимальные размеры уставного капитала ломбардов, устанавливаемые по годам.</w:t>
      </w:r>
    </w:p>
    <w:p>
      <w:pPr>
        <w:spacing w:after="120"/>
        <w:jc w:val="right"/>
      </w:pPr>
      <w:r>
        <w:rPr>
          <w:rFonts w:ascii="Arial" w:cs="Arial" w:eastAsia="Arial" w:hAnsi="Arial"/>
          <w:sz w:val="24"/>
          <w:szCs w:val="24"/>
        </w:rPr>
        <w:t xml:space="preserve">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8"/>
        <w:gridCol w:w="1581"/>
        <w:gridCol w:w="1430"/>
        <w:gridCol w:w="1430"/>
        <w:gridCol w:w="1279"/>
        <w:gridCol w:w="1430"/>
      </w:tblGrid>
      <w:tr>
        <w:tc>
          <w:tcPr>
            <w:tcW w:type="dxa" w:w="30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12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2025</w:t>
            </w:r>
          </w:p>
        </w:tc>
      </w:tr>
      <w:tr>
        <w:tc>
          <w:tcPr>
            <w:tcW w:type="dxa" w:w="3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уставного капитала</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млн</w:t>
            </w:r>
          </w:p>
          <w:p>
            <w:pPr>
              <w:jc w:val="left"/>
            </w:pPr>
            <w:r>
              <w:rPr>
                <w:rFonts w:ascii="Arial" w:cs="Arial" w:eastAsia="Arial" w:hAnsi="Arial"/>
                <w:sz w:val="24"/>
                <w:szCs w:val="24"/>
              </w:rPr>
              <w:t xml:space="preserve">сом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млн</w:t>
            </w:r>
          </w:p>
          <w:p>
            <w:pPr>
              <w:jc w:val="left"/>
            </w:pPr>
            <w:r>
              <w:rPr>
                <w:rFonts w:ascii="Arial" w:cs="Arial" w:eastAsia="Arial" w:hAnsi="Arial"/>
                <w:sz w:val="24"/>
                <w:szCs w:val="24"/>
              </w:rPr>
              <w:t xml:space="preserve">сом</w:t>
            </w:r>
          </w:p>
        </w:tc>
      </w:tr>
      <w:tr>
        <w:tc>
          <w:tcPr>
            <w:tcW w:type="dxa" w:w="3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активов ломбардов (тыс. сомов)</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900 000,0</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1 000 000,0</w:t>
            </w:r>
          </w:p>
        </w:tc>
      </w:tr>
    </w:tbl>
    <w:p>
      <w:pPr>
        <w:spacing w:after="120"/>
        <w:jc w:val="both"/>
      </w:pPr>
      <w:r>
        <w:rPr>
          <w:rFonts w:ascii="Arial" w:cs="Arial" w:eastAsia="Arial" w:hAnsi="Arial"/>
          <w:sz w:val="24"/>
          <w:szCs w:val="24"/>
        </w:rPr>
        <w:t xml:space="preserve">Развитие механизма законного функционирования рынка ломбардной деятельности обеспечит лицензионную деятельность всех ломбардов на территории Кыргызской Республики, создаст благоприятную среду для предпринимателей, осуществляющих ломбардную деятельность, будет способствовать решению проблем получения финансовых средств, обеспечит законодательную защиту прав и росту интересов заемщиков.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Страховая деятельность</w:t>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6"/>
        <w:gridCol w:w="1092"/>
        <w:gridCol w:w="943"/>
        <w:gridCol w:w="943"/>
        <w:gridCol w:w="943"/>
        <w:gridCol w:w="943"/>
        <w:gridCol w:w="976"/>
      </w:tblGrid>
      <w:tr>
        <w:tc>
          <w:tcPr>
            <w:tcW w:type="dxa" w:w="4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2019</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2025</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активов страховых организаций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4 859</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6 500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резервов страховых организаций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по обязательному страхованию автогражданской ответственности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страховых премий в ВВП (в %)</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активов страховых организаций в ВВП (в %)</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r>
    </w:tbl>
    <w:p>
      <w:pPr>
        <w:spacing w:after="120"/>
        <w:jc w:val="both"/>
      </w:pPr>
      <w:r>
        <w:rPr>
          <w:rFonts w:ascii="Arial" w:cs="Arial" w:eastAsia="Arial" w:hAnsi="Arial"/>
          <w:sz w:val="24"/>
          <w:szCs w:val="24"/>
        </w:rPr>
        <w:t xml:space="preserve">
 Для достижения вышеуказанных индикаторов необходимо:</w:t>
      </w:r>
    </w:p>
    <w:p>
      <w:pPr>
        <w:spacing w:after="120"/>
        <w:jc w:val="both"/>
      </w:pPr>
      <w:r>
        <w:rPr>
          <w:rFonts w:ascii="Arial" w:cs="Arial" w:eastAsia="Arial" w:hAnsi="Arial"/>
          <w:sz w:val="24"/>
          <w:szCs w:val="24"/>
        </w:rPr>
        <w:t xml:space="preserve">- повышение роли страхового сектора в национальной экономике (повышение доли страховых премий в ВВП с 0,25 % до 1 %);</w:t>
      </w:r>
    </w:p>
    <w:p>
      <w:pPr>
        <w:spacing w:after="120"/>
        <w:jc w:val="both"/>
      </w:pPr>
      <w:r>
        <w:rPr>
          <w:rFonts w:ascii="Arial" w:cs="Arial" w:eastAsia="Arial" w:hAnsi="Arial"/>
          <w:sz w:val="24"/>
          <w:szCs w:val="24"/>
        </w:rPr>
        <w:t xml:space="preserve">- создание условий, обеспечивающих развитие добровольных видов страхования, взаимного страхования, новых подходов к страхованию, направленных на удовлетворение массовой потребности в страховых услугах;</w:t>
      </w:r>
    </w:p>
    <w:p>
      <w:pPr>
        <w:spacing w:after="120"/>
        <w:jc w:val="both"/>
      </w:pPr>
      <w:r>
        <w:rPr>
          <w:rFonts w:ascii="Arial" w:cs="Arial" w:eastAsia="Arial" w:hAnsi="Arial"/>
          <w:sz w:val="24"/>
          <w:szCs w:val="24"/>
        </w:rPr>
        <w:t xml:space="preserve">- повышение инвестиционной привлекательности и формирование добросовестной конструктивной конкуренции, обеспечивающей качество страховых услуг и эффективность страховой деятельности;</w:t>
      </w:r>
    </w:p>
    <w:p>
      <w:pPr>
        <w:spacing w:after="120"/>
        <w:jc w:val="both"/>
      </w:pPr>
      <w:r>
        <w:rPr>
          <w:rFonts w:ascii="Arial" w:cs="Arial" w:eastAsia="Arial" w:hAnsi="Arial"/>
          <w:sz w:val="24"/>
          <w:szCs w:val="24"/>
        </w:rPr>
        <w:t xml:space="preserve">- обеспечение баланса интересов между страховщиками, страховыми посредниками и страхователями (выгодоприобретателями), выработка мер по повышению качества предоставляемых страховщиками услуг в целях защиты прав потребителей страховых услуг, а также повышение их ответственности при выборе, организации способов страховой защиты и исполнении условий договоров страхования;</w:t>
      </w:r>
    </w:p>
    <w:p>
      <w:pPr>
        <w:spacing w:after="120"/>
        <w:jc w:val="both"/>
      </w:pPr>
      <w:r>
        <w:rPr>
          <w:rFonts w:ascii="Arial" w:cs="Arial" w:eastAsia="Arial" w:hAnsi="Arial"/>
          <w:sz w:val="24"/>
          <w:szCs w:val="24"/>
        </w:rPr>
        <w:t xml:space="preserve">- сокращение предпосылок для возникновения споров между страховщиками и потребителями их услуг;</w:t>
      </w:r>
    </w:p>
    <w:p>
      <w:pPr>
        <w:spacing w:after="120"/>
        <w:jc w:val="both"/>
      </w:pPr>
      <w:r>
        <w:rPr>
          <w:rFonts w:ascii="Arial" w:cs="Arial" w:eastAsia="Arial" w:hAnsi="Arial"/>
          <w:sz w:val="24"/>
          <w:szCs w:val="24"/>
        </w:rPr>
        <w:t xml:space="preserve">- создание эффективных механизмов досудебного урегулирования споров, в частности института страхового омбудсмена;</w:t>
      </w:r>
    </w:p>
    <w:p>
      <w:pPr>
        <w:spacing w:after="120"/>
        <w:jc w:val="both"/>
      </w:pPr>
      <w:r>
        <w:rPr>
          <w:rFonts w:ascii="Arial" w:cs="Arial" w:eastAsia="Arial" w:hAnsi="Arial"/>
          <w:sz w:val="24"/>
          <w:szCs w:val="24"/>
        </w:rPr>
        <w:t xml:space="preserve">- расширение сферы деятельности участников и субъектов страхового дела при обеспечении гарантий защиты прав потребителей их услуг;</w:t>
      </w:r>
    </w:p>
    <w:p>
      <w:pPr>
        <w:spacing w:after="120"/>
        <w:jc w:val="both"/>
      </w:pPr>
      <w:r>
        <w:rPr>
          <w:rFonts w:ascii="Arial" w:cs="Arial" w:eastAsia="Arial" w:hAnsi="Arial"/>
          <w:sz w:val="24"/>
          <w:szCs w:val="24"/>
        </w:rPr>
        <w:t xml:space="preserve">- повышение стабильности, надежности инфраструктуры страхового рынка, оперативности и эффективности его деятельности;</w:t>
      </w:r>
    </w:p>
    <w:p>
      <w:pPr>
        <w:spacing w:after="120"/>
        <w:jc w:val="both"/>
      </w:pPr>
      <w:r>
        <w:rPr>
          <w:rFonts w:ascii="Arial" w:cs="Arial" w:eastAsia="Arial" w:hAnsi="Arial"/>
          <w:sz w:val="24"/>
          <w:szCs w:val="24"/>
        </w:rPr>
        <w:t xml:space="preserve">- обеспечение эффективного использования бюджетных средств на страхование и повышение значимости страховой защиты.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Аудиторская деятельность</w:t>
      </w:r>
    </w:p>
    <w:p>
      <w:pPr>
        <w:spacing w:after="120"/>
        <w:jc w:val="both"/>
      </w:pPr>
      <w:r>
        <w:rPr>
          <w:rFonts w:ascii="Arial" w:cs="Arial" w:eastAsia="Arial" w:hAnsi="Arial"/>
          <w:sz w:val="24"/>
          <w:szCs w:val="24"/>
        </w:rPr>
        <w:t xml:space="preserve">Ожидаемыми результатами от реализации Стратегии в сфере аудита являются: </w:t>
      </w:r>
    </w:p>
    <w:p>
      <w:pPr>
        <w:spacing w:after="120"/>
        <w:jc w:val="both"/>
      </w:pPr>
      <w:r>
        <w:rPr>
          <w:rFonts w:ascii="Arial" w:cs="Arial" w:eastAsia="Arial" w:hAnsi="Arial"/>
          <w:sz w:val="24"/>
          <w:szCs w:val="24"/>
        </w:rPr>
        <w:t xml:space="preserve">- повышение требований к получению профессиональной квалификации аудитора;</w:t>
      </w:r>
    </w:p>
    <w:p>
      <w:pPr>
        <w:spacing w:after="120"/>
        <w:jc w:val="both"/>
      </w:pPr>
      <w:r>
        <w:rPr>
          <w:rFonts w:ascii="Arial" w:cs="Arial" w:eastAsia="Arial" w:hAnsi="Arial"/>
          <w:sz w:val="24"/>
          <w:szCs w:val="24"/>
        </w:rPr>
        <w:t xml:space="preserve">- увеличение качественных аудиторских проверок, повышение доверия пользователей к эрудированной финансовой отчетности, расширение круга инвесторов;</w:t>
      </w:r>
    </w:p>
    <w:p>
      <w:pPr>
        <w:spacing w:after="120"/>
        <w:jc w:val="both"/>
      </w:pPr>
      <w:r>
        <w:rPr>
          <w:rFonts w:ascii="Arial" w:cs="Arial" w:eastAsia="Arial" w:hAnsi="Arial"/>
          <w:sz w:val="24"/>
          <w:szCs w:val="24"/>
        </w:rPr>
        <w:t xml:space="preserve">- увеличение конкурентоспособных аудиторских организаций на национальном рынке аудита;</w:t>
      </w:r>
    </w:p>
    <w:p>
      <w:pPr>
        <w:spacing w:after="120"/>
        <w:jc w:val="both"/>
      </w:pPr>
      <w:r>
        <w:rPr>
          <w:rFonts w:ascii="Arial" w:cs="Arial" w:eastAsia="Arial" w:hAnsi="Arial"/>
          <w:sz w:val="24"/>
          <w:szCs w:val="24"/>
        </w:rPr>
        <w:t xml:space="preserve">- уменьшение нарушений и злоупотреблений, связанных с искажением финансовой отчетности (мошенничества);</w:t>
      </w:r>
    </w:p>
    <w:p>
      <w:pPr>
        <w:spacing w:after="120"/>
        <w:jc w:val="both"/>
      </w:pPr>
      <w:r>
        <w:rPr>
          <w:rFonts w:ascii="Arial" w:cs="Arial" w:eastAsia="Arial" w:hAnsi="Arial"/>
          <w:sz w:val="24"/>
          <w:szCs w:val="24"/>
        </w:rPr>
        <w:t xml:space="preserve">- сокращение случаев ведения недобросовестной аудиторской деятельности на рынке аудиторских услуг;</w:t>
      </w:r>
    </w:p>
    <w:p>
      <w:pPr>
        <w:spacing w:after="120"/>
        <w:jc w:val="both"/>
      </w:pPr>
      <w:r>
        <w:rPr>
          <w:rFonts w:ascii="Arial" w:cs="Arial" w:eastAsia="Arial" w:hAnsi="Arial"/>
          <w:sz w:val="24"/>
          <w:szCs w:val="24"/>
        </w:rPr>
        <w:t xml:space="preserve">- расширение спектра аудиторских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Накопительные пенсионные фонды</w:t>
      </w:r>
    </w:p>
    <w:p>
      <w:pPr>
        <w:spacing w:after="120"/>
        <w:jc w:val="both"/>
      </w:pPr>
      <w:r>
        <w:rPr>
          <w:rFonts w:ascii="Arial" w:cs="Arial" w:eastAsia="Arial" w:hAnsi="Arial"/>
          <w:sz w:val="24"/>
          <w:szCs w:val="24"/>
        </w:rPr>
        <w:t xml:space="preserve">Негосударственное пенсионное обеспечение ‒ один из возможных факторов повышения материального благополучия пожилых людей, возможность получения в перспективе высоких размеров пенсий при выходе на пенсию. Совершенствуя и развивая накопительные пенсионные фонды (НПФ), можно дополнительно способствовать решению проблем пенсионной системы страны:</w:t>
      </w:r>
    </w:p>
    <w:p>
      <w:pPr>
        <w:spacing w:after="120"/>
        <w:jc w:val="both"/>
      </w:pPr>
      <w:r>
        <w:rPr>
          <w:rFonts w:ascii="Arial" w:cs="Arial" w:eastAsia="Arial" w:hAnsi="Arial"/>
          <w:sz w:val="24"/>
          <w:szCs w:val="24"/>
        </w:rPr>
        <w:t xml:space="preserve">- повысить уровень негосударственного пенсионного обеспечения в Кыргызстане;</w:t>
      </w:r>
    </w:p>
    <w:p>
      <w:pPr>
        <w:spacing w:after="120"/>
        <w:jc w:val="both"/>
      </w:pPr>
      <w:r>
        <w:rPr>
          <w:rFonts w:ascii="Arial" w:cs="Arial" w:eastAsia="Arial" w:hAnsi="Arial"/>
          <w:sz w:val="24"/>
          <w:szCs w:val="24"/>
        </w:rPr>
        <w:t xml:space="preserve">- достигнуть приемлемого уровня пенсий для участников за счет участия в корпоративных, профессиональных и частных пенсионных системах;</w:t>
      </w:r>
    </w:p>
    <w:p>
      <w:pPr>
        <w:spacing w:after="120"/>
        <w:jc w:val="both"/>
      </w:pPr>
      <w:r>
        <w:rPr>
          <w:rFonts w:ascii="Arial" w:cs="Arial" w:eastAsia="Arial" w:hAnsi="Arial"/>
          <w:sz w:val="24"/>
          <w:szCs w:val="24"/>
        </w:rPr>
        <w:t xml:space="preserve">- обеспечить участие в управлении пенсионными активами, создать эффективную и доступную систему контроля над инвестированием средств пенсионных накоплений.</w:t>
      </w:r>
    </w:p>
    <w:p>
      <w:pPr>
        <w:spacing w:after="120"/>
        <w:jc w:val="both"/>
      </w:pPr>
      <w:r>
        <w:rPr>
          <w:rFonts w:ascii="Arial" w:cs="Arial" w:eastAsia="Arial" w:hAnsi="Arial"/>
          <w:sz w:val="24"/>
          <w:szCs w:val="24"/>
        </w:rPr>
        <w:t xml:space="preserve">Обладая рыночными свойствами капитала, накопленные пенсионные активы и их эффективное использование послужит толчком к развитию финансового рынка, будет способствовать росту сбережений населения и экономическому росту инвестиций за счет пенсионных активов.</w:t>
      </w:r>
    </w:p>
    <w:p>
      <w:pPr>
        <w:spacing w:after="120"/>
        <w:jc w:val="both"/>
      </w:pPr>
      <w:r>
        <w:rPr>
          <w:rFonts w:ascii="Arial" w:cs="Arial" w:eastAsia="Arial" w:hAnsi="Arial"/>
          <w:sz w:val="24"/>
          <w:szCs w:val="24"/>
        </w:rPr>
        <w:t xml:space="preserve">Развитие накопительных пенсионных фондов будет способствовать повышению эффективности функционирования всех элементов распределительно-накопительной пенсионной системы, в решении проблем пенсионной системы страны в целом.</w:t>
      </w:r>
    </w:p>
    <w:p>
      <w:pPr>
        <w:spacing w:after="120"/>
        <w:jc w:val="both"/>
      </w:pPr>
      <w:r>
        <w:rPr>
          <w:rFonts w:ascii="Arial" w:cs="Arial" w:eastAsia="Arial" w:hAnsi="Arial"/>
          <w:sz w:val="24"/>
          <w:szCs w:val="24"/>
        </w:rPr>
        <w:t xml:space="preserve">Учитывая, что накопительный пенсионный фонд «Дордой Гарант» начал свою работу только в конце 2019 года, прогноз показателей сделан относительно деятельности накопительного пенсионного фонда «Кыргызстан», предполагающей следующие результаты:</w:t>
      </w:r>
    </w:p>
    <w:p>
      <w:pPr>
        <w:spacing w:after="120"/>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111"/>
        <w:gridCol w:w="1078"/>
        <w:gridCol w:w="1046"/>
        <w:gridCol w:w="1242"/>
        <w:gridCol w:w="1242"/>
        <w:gridCol w:w="1225"/>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w:t>
            </w:r>
          </w:p>
          <w:p>
            <w:pPr>
              <w:jc w:val="left"/>
            </w:pPr>
            <w:r>
              <w:rPr>
                <w:rFonts w:ascii="Arial" w:cs="Arial" w:eastAsia="Arial" w:hAnsi="Arial"/>
                <w:b/>
                <w:bCs/>
                <w:sz w:val="24"/>
                <w:szCs w:val="24"/>
              </w:rPr>
              <w:t xml:space="preserve">2020</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12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2025</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пенсионных накоплений (тыс.сом.)</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38 104,8</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60 000,0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80 000,0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120 000,0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150 000,0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по негосударственному пенсионному обеспечению</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в качестве участника в системе по обязательному накопительному пенсионному страхованию</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Лотерейная деятельность</w:t>
      </w:r>
    </w:p>
    <w:p>
      <w:pPr>
        <w:spacing w:after="120"/>
        <w:jc w:val="both"/>
      </w:pPr>
      <w:r>
        <w:rPr>
          <w:rFonts w:ascii="Arial" w:cs="Arial" w:eastAsia="Arial" w:hAnsi="Arial"/>
          <w:sz w:val="24"/>
          <w:szCs w:val="24"/>
        </w:rPr>
        <w:t xml:space="preserve">Развитие рынка лотерейной деятельности в перспективе обеспечит:</w:t>
      </w:r>
    </w:p>
    <w:p>
      <w:pPr>
        <w:spacing w:after="120"/>
        <w:jc w:val="both"/>
      </w:pPr>
      <w:r>
        <w:rPr>
          <w:rFonts w:ascii="Arial" w:cs="Arial" w:eastAsia="Arial" w:hAnsi="Arial"/>
          <w:sz w:val="24"/>
          <w:szCs w:val="24"/>
        </w:rPr>
        <w:t xml:space="preserve">- создание и развитие механизма функционирования рынка лотерейной деятельности в Кыргызской Республике;</w:t>
      </w:r>
    </w:p>
    <w:p>
      <w:pPr>
        <w:spacing w:after="120"/>
        <w:jc w:val="both"/>
      </w:pPr>
      <w:r>
        <w:rPr>
          <w:rFonts w:ascii="Arial" w:cs="Arial" w:eastAsia="Arial" w:hAnsi="Arial"/>
          <w:sz w:val="24"/>
          <w:szCs w:val="24"/>
        </w:rPr>
        <w:t xml:space="preserve">- поступление денежных средств в виде налогов и иных платежей в бюджет страны;</w:t>
      </w:r>
    </w:p>
    <w:p>
      <w:pPr>
        <w:spacing w:after="120"/>
        <w:jc w:val="both"/>
      </w:pPr>
      <w:r>
        <w:rPr>
          <w:rFonts w:ascii="Arial" w:cs="Arial" w:eastAsia="Arial" w:hAnsi="Arial"/>
          <w:sz w:val="24"/>
          <w:szCs w:val="24"/>
        </w:rPr>
        <w:t xml:space="preserve">- увеличение операций на небанковском финансовом рынке.</w:t>
      </w:r>
    </w:p>
    <w:p>
      <w:pPr>
        <w:spacing w:after="120"/>
        <w:jc w:val="both"/>
      </w:pPr>
      <w:r>
        <w:rPr>
          <w:rFonts w:ascii="Arial" w:cs="Arial" w:eastAsia="Arial" w:hAnsi="Arial"/>
          <w:sz w:val="24"/>
          <w:szCs w:val="24"/>
        </w:rPr>
        <w:t xml:space="preserve">Развитие механизма законного функционирования рынка лотерейной деятельности обеспечит защиту прав и интересов участников лотереи, прозрачность проведения лотереи (публикации условий проведения и результатов розыгрышей), равенство шансов участников лотереи на выигрыш, создание и поддержание доверия к государственной лотерее, стимулирование интереса к участию в лотерее, и увеличение продаж лотерейных билетов, поступлений в бюджет для решения различных социально-экономических задач.</w:t>
      </w:r>
    </w:p>
    <w:p>
      <w:pPr>
        <w:spacing w:after="120"/>
        <w:jc w:val="both"/>
      </w:pPr>
      <w:r>
        <w:rPr>
          <w:rFonts w:ascii="Arial" w:cs="Arial" w:eastAsia="Arial" w:hAnsi="Arial"/>
          <w:sz w:val="24"/>
          <w:szCs w:val="24"/>
        </w:rPr>
        <w:t xml:space="preserve">Учитывая государственную поддержку деятельности Государственного предприятия «Государственная лотерейная компания» путем выделения порядка 100 млн сомов, можно спрогнозировать следующие результаты ее деятельности.</w:t>
      </w:r>
    </w:p>
    <w:p>
      <w:pPr>
        <w:spacing w:after="120"/>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3026"/>
        <w:gridCol w:w="1403"/>
        <w:gridCol w:w="879"/>
        <w:gridCol w:w="879"/>
        <w:gridCol w:w="879"/>
        <w:gridCol w:w="879"/>
        <w:gridCol w:w="1758"/>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индикатора</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35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p>
            <w:pPr>
              <w:jc w:val="left"/>
            </w:pPr>
            <w:r>
              <w:rPr>
                <w:rFonts w:ascii="Arial" w:cs="Arial" w:eastAsia="Arial" w:hAnsi="Arial"/>
                <w:b/>
                <w:bCs/>
                <w:sz w:val="24"/>
                <w:szCs w:val="24"/>
              </w:rPr>
              <w:t xml:space="preserve">(годовые)</w:t>
            </w:r>
          </w:p>
        </w:tc>
        <w:tc>
          <w:tcPr>
            <w:tcW w:type="dxa" w:w="17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Целевой показатель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проданных лотерей (тыс. штук)</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проведения лотереи (млн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августа 2020 года собственный капитал компании составляет 4,9 млн сомов (из 30 выделенных), убыток ‒ 4,5 млн сомов, и практически находится в предбанкротном состоянии. В случае отсутствия и неполучения дополнительных финансовых средств, деятельность компании не получит дальнейшего развития в складывающихся условиях.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Финансирование</w:t>
      </w:r>
    </w:p>
    <w:p>
      <w:pPr>
        <w:spacing w:after="120"/>
        <w:jc w:val="both"/>
      </w:pPr>
      <w:r>
        <w:rPr>
          <w:rFonts w:ascii="Arial" w:cs="Arial" w:eastAsia="Arial" w:hAnsi="Arial"/>
          <w:sz w:val="24"/>
          <w:szCs w:val="24"/>
        </w:rPr>
        <w:t xml:space="preserve"> Финансовое обеспечение реализации настоящей Стратегии планируется осуществляться в рамках средств, заложенных в республиканском бюджете, а также при поддержке международных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Предлагаемые меры для достижения целей и задач Стратегии до 2025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gridCol w:w="1"/>
      </w:tblGrid>
      <w:tr>
        <w:tc>
          <w:tcPr>
            <w:tcW w:type="dxa" w:w="1017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Рынок ценных бумаг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требований по вопросам капитализации к профессиональным участникам рынка ценных бумаг, занимающихся брокерской, биржевой и депозитарной деятельностью</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Положение о нормативных показателях достаточности собственных средств, устанавливаемых для профессиональных участников рынка ценных бумаг, утвержденное постановлением Правительства Кыргызской Республики от 15 августа 2011 года № 467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уровня финансовой устойчивости, конкурентоспособности финансовых организаций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требований в отношении профессиональной компетентности лиц, занимающих ведущие должности в организациях профессиональных участников рынка, и уровня квалификационных экзаменов для этих лиц</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Положение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 сентября 2011 года № 526</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Повышены качество и уровень услуг, предоставляемых профессиональными участниками рынка ценных бумаг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торговли ценными бумагами и увеличение объемов биржевой торговли по инструментам фондового рынка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рынка ценных бумаг и Налоговый кодекс Кыргызской Республики в целях регулирования механизмов индивидуальных инвестиционных счетов</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рыночной активности участников торгов, ликвидности финансовых инструментов, широкий выбор инструментов инвестирования </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ЗАО «КФБ»</w:t>
            </w:r>
          </w:p>
          <w:p>
            <w:pPr>
              <w:jc w:val="left"/>
            </w:pPr>
            <w:r>
              <w:rPr>
                <w:rFonts w:ascii="Arial" w:cs="Arial" w:eastAsia="Arial" w:hAnsi="Arial"/>
                <w:sz w:val="24"/>
                <w:szCs w:val="24"/>
              </w:rPr>
              <w:t xml:space="preserve">(по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товарной бирже» в целях формирования и дальнейшего развития единого биржевого рынка</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 по вопросам использования финансовых инструментов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масштабной информационно-разъяснительной и образовательной работы и популяризация финансовой грамотности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февраля 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ежегодные, ежеквартальные инвестиционные семинары и финансовые ярмарки, с выдачей проспектной и финансовой информации инвесторам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ответственности административных и уголовных наказаний за правонарушения на рынке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составление национального перечня оснований, порядка, условий и размера применения санкций к участникам рынка ценных бумаг и эмитентам за правонарушения на финансовом рынке;</w:t>
            </w:r>
          </w:p>
          <w:p>
            <w:pPr>
              <w:jc w:val="left"/>
            </w:pPr>
            <w:r>
              <w:rPr>
                <w:rFonts w:ascii="Arial" w:cs="Arial" w:eastAsia="Arial" w:hAnsi="Arial"/>
                <w:sz w:val="24"/>
                <w:szCs w:val="24"/>
              </w:rPr>
              <w:t xml:space="preserve">2) составление национального перечня требований по защите прав и интересов потребителей финансовых услуг на рынке ценных бумаг;</w:t>
            </w:r>
          </w:p>
          <w:p>
            <w:pPr>
              <w:jc w:val="left"/>
            </w:pPr>
            <w:r>
              <w:rPr>
                <w:rFonts w:ascii="Arial" w:cs="Arial" w:eastAsia="Arial" w:hAnsi="Arial"/>
                <w:sz w:val="24"/>
                <w:szCs w:val="24"/>
              </w:rPr>
              <w:t xml:space="preserve">3) составление национального перечня требований, направленных на противодействие неправомерному использованию инсайдерской информации и манипулированию на рынке ценных бумаг;</w:t>
            </w:r>
          </w:p>
          <w:p>
            <w:pPr>
              <w:jc w:val="left"/>
            </w:pPr>
            <w:r>
              <w:rPr>
                <w:rFonts w:ascii="Arial" w:cs="Arial" w:eastAsia="Arial" w:hAnsi="Arial"/>
                <w:sz w:val="24"/>
                <w:szCs w:val="24"/>
              </w:rPr>
              <w:t xml:space="preserve">4) составление национального и разработка гармонизированного перечня требований к системе корпоративного управления участников рынка ценных бумаг;</w:t>
            </w:r>
          </w:p>
          <w:p>
            <w:pPr>
              <w:jc w:val="left"/>
            </w:pPr>
            <w:r>
              <w:rPr>
                <w:rFonts w:ascii="Arial" w:cs="Arial" w:eastAsia="Arial" w:hAnsi="Arial"/>
                <w:sz w:val="24"/>
                <w:szCs w:val="24"/>
              </w:rPr>
              <w:t xml:space="preserve">5) составление национального и разработка гармонизированного перечня надзорной отчетности и сроков ее предоставления участниками рынка ценных бумаг и эмитентами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 уровень инвестиционного риска на рынке ценных бумаг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процедуры сертификации инвестиционных консультантов и рейтинговых агентств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разработка национальных перечней требований к осуществлению деятельности рейтинговых агентств и инвестиционных консультантов</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2024 года</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институт инвестиционных консультантов и рейтинговых агентств </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рынке ценных бумаг», в части введения деятельности инвестиционных консультантов</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привлечения иностранных инвестиций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рынке ценных бумаг», в части устранения установленных барьеров при передвижении капиталов, инвестиций, финансовых услуг между государствами-членами ЕАЭС</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Взаимный допуск к размещению и обращению ценных бумаг на организованных торгах в государствах-членах ЕАЭС</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недобросовестной конкуренции между профессиональными участниками государств-членов ЕАЭС в условиях предоставления свободного доступа на национальные рынки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защите от недобросовестной конкуренции между профессиональными участниками государств-членов ЕАЭС путем внесения соответствующих изменений в Закон Кыргызской Республики «О рынке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 уровень инвестиционного риска на рынке ценных бумаг, обеспечена защита законных прав и интересов инвесторов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профессио-нальные участники РЦБ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ликвидности акций стратегических компаний и привлечение необходимого капитала для модернизации и развития их потенциала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IPO компаний с реализацией до 10 процентов акций дополнительного выпуска на фондовом рынке</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рентабельность стратегических компаний, а также усилен инвестиционный потенциал гражданского общества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 стратегические компании (по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и стимулирование выпуска муниципальных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и обращение на фондовой бирже муниципальных ценных бумаг для реализации некоммерческих проектов, расходы на которые не предусмотрены бюджетом, или долгосрочных перспективных проектов с длительным сроком окупаемости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 временный дефицит местного бюджета, профинансированы инфраструктурные объекты, требующие единовременных крупных средств, которыми не располагает местный бюджет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цифровой инфраструктуры на рынке ценных бумаг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в целях создания Центральной базы данных, резервного реестра держателей ценных бумаг, Центра раскрытия корпоративной информации для повышения уровня информационного обеспечения инвесторов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Центральная база данных резервного реестра держателей ценных бумаг, Центр раскрытия корпоративной информации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ЗАО «КФБ» (по согласованию), ЗАО «ЦД» (по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стабильности эмитентов на рынке ценных бумаг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внесении изменений в Закон Кыргызской Республики «Об акционерных обществах» в целях внедрения инструментария по обеспечению финансовой стабильности, повышению уровня и культуры корпоративного управления участников рынка ценных бумаг, формированию системы подготовки кадров в области корпоративных финансов </w:t>
            </w:r>
          </w:p>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Увеличены капитализация фондового рынка и эффективность финансовых операций, прозрачность структуры акционерных обществ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Повышение требований к капитализации для профессиональных участников рынка ценных бумаг, занимающихся дилерской деятельностью, доверительным управлением инвестиционными активами, ведением реестра держателей ценных бумаг и деятельностью инвестиционных фондов</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Внесение изменений в </w:t>
            </w:r>
            <w:hyperlink w:history="1" r:id="rIdiu5ntxbosqho1zqmymub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утвержденное </w:t>
            </w:r>
            <w:hyperlink w:history="1" r:id="rIdejzo4nrvh4holw9nk7p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Рост уровня финансовой устойчивости, конкурентоспособности финансовых организаций</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Финнадзор при МЭК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Ломбардная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деятельности ломбардов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постановления Правительства Кыргызской Республики «О внесении изменений в постановление Правительства Кыргызской Республики «О вопросах ломбардной деятельности» от 8 июня 2017 года № 353, в части увеличения размера уставного капитала ломбардов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требования и поддержан необходимый минимальный размер уставного капитала, улучшены организация, эффективность и развитие ломбардов, достигнута финансовая устойчивость деятельности ломбардов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Страховая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требования к платежеспособности и финансовой устойчивости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нормативов платежеспособности страховых организаций (пруденциальные нормативы) с учетом повышения требований к качеству и структуре активов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ноября</w:t>
            </w:r>
          </w:p>
          <w:p>
            <w:pPr>
              <w:jc w:val="left"/>
            </w:pPr>
            <w:r>
              <w:rPr>
                <w:rFonts w:ascii="Arial" w:cs="Arial" w:eastAsia="Arial" w:hAnsi="Arial"/>
                <w:sz w:val="24"/>
                <w:szCs w:val="24"/>
              </w:rPr>
              <w:t xml:space="preserve">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новые нормативы по платежеспособности страховых организаций в части повышения требований к качеству и структуре активов страховых организаций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по урегулированию страховой деятельности в сфере обязательного страхования гражданско-правовой ответственности владельцев автотранспортных средств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«О внесении изменений в Закон Кыргызской Республики «Об обязательном страховании гражданско-правовой ответственности владельцев автотранспортных средств», в части создания Бюро по обязательному автострахованию</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w:t>
            </w:r>
          </w:p>
          <w:p>
            <w:pPr>
              <w:jc w:val="left"/>
            </w:pPr>
            <w:r>
              <w:rPr>
                <w:rFonts w:ascii="Arial" w:cs="Arial" w:eastAsia="Arial" w:hAnsi="Arial"/>
                <w:sz w:val="24"/>
                <w:szCs w:val="24"/>
              </w:rPr>
              <w:t xml:space="preserve">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Бюро выполняющая функции формирования, пополнения, изменения и обмена базы данных по обязательному автострахованию с учетом международного опыта</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государственного регулирования и надзора за страховой деятельностью с учетом международных практик</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новой редакции Закона Кыргызской Республики «Об организации страхования», с учетом основных принципов страхования, рекомендуемых Международной ассоциацией страховых надзоров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новая редакция Закона Кыргызской Республики «Об организации страхования в Кыргызской Республике»</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возмещения вреда по обязательным видам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единой методики определения размера страхового возмещения за вред, причиненный здоровью потерпевших, по обязательным видам страхования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определения размера страхового возмещения за вред, причиненный здоровью потерпевших, по обязательным видам страхования</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участия страховых организаций в системе пенсионного обеспечения граждан</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внесение изменений в законодательство по вопросам участия страховых организаций в системе пенсионного обеспечения граждан</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принимают участие в системе пенсионного обеспечения граждан</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предупреждение рисков ухудшения финансового состояния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тестирования по раннему предупреждению рисков, основанного на системе оценки рисков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марта</w:t>
            </w:r>
          </w:p>
          <w:p>
            <w:pPr>
              <w:jc w:val="left"/>
            </w:pPr>
            <w:r>
              <w:rPr>
                <w:rFonts w:ascii="Arial" w:cs="Arial" w:eastAsia="Arial" w:hAnsi="Arial"/>
                <w:sz w:val="24"/>
                <w:szCs w:val="24"/>
              </w:rPr>
              <w:t xml:space="preserve">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в работу программный комплекс по выявлению и раннему предупреждению рисков ухудшения финансового состояния страховых организаций</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участия страховых организаций в системе обязательного медицинского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участие страховых организаций в системе обязательного медицинского страхования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допущены к участию в системе обязательного медицинского страхования согласно законодательству</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Аудиторская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сфере аудиторской деятельности, гармонизация законодательства Кыргызской Республики с международными договорами и актами, составляющими право ЕАЭС</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Закона Кыргызской Республики «Об аудиторской деятельности» в новой редакции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институт профессиональных аудиторских объединений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Совместная с государствами-членами ЕАЭС разработка проектов нормативных правовых актов в сфере аудиторской деятельности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государственный реестр аудиторов, аудиторских организаций и профессиональных аудиторских объединений</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надзорных и регулятивных функций в области аудита и повышение контроля за качеством аудита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подзаконного акта, предусматривающего порядок проведения внешнего контроля качества аудита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новая система сертификации аудиторов</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Накопительные пенсионные фонды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дополнительных видов негосударственного пенсионного обеспечения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постановления Правительства Кыргызской Республики «Об утверждении Положения о порядке осуществления деятельности профессионального пенсионного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ноября</w:t>
            </w:r>
          </w:p>
          <w:p>
            <w:pPr>
              <w:jc w:val="left"/>
            </w:pPr>
            <w:r>
              <w:rPr>
                <w:rFonts w:ascii="Arial" w:cs="Arial" w:eastAsia="Arial" w:hAnsi="Arial"/>
                <w:sz w:val="24"/>
                <w:szCs w:val="24"/>
              </w:rPr>
              <w:t xml:space="preserve">2021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правовая база для деятельности профессионального пенсионного страхования по привлечению пенсионных взносов и пенсионным выплатам, дополнительное увеличение размеров пенсий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противоречий в законодательстве Кыргызской Республики о накопительных пенсионных фондов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Кыргызской Республики «О внесении изменений в Закон Кыргызской Республики «О накопительных пенсионных фондах в Кыргызской Республике», в части выпуска ценных бумаг накопительным пенсионным фондом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w:t>
            </w:r>
          </w:p>
          <w:p>
            <w:pPr>
              <w:jc w:val="left"/>
            </w:pPr>
            <w:r>
              <w:rPr>
                <w:rFonts w:ascii="Arial" w:cs="Arial" w:eastAsia="Arial" w:hAnsi="Arial"/>
                <w:sz w:val="24"/>
                <w:szCs w:val="24"/>
              </w:rPr>
              <w:t xml:space="preserve">2022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нормы в законодательстве по деятельности накопительных пенсионных фондов, установлены единые требования и исключены противоречия в части выпуска ценных бумаг накопительными пенсионными фондами</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Лотерейная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Государственного предприятия «Государственная лотерейная компания»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Кыргызской Республики «О внесении изменений в Закон Кыргызской Республики «О лотереях» в части уточнения определения лотерейной деятельности как реализации услуги, предоставление возможности для сотрудничества в рамках государственно-частного партнерства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w:t>
            </w:r>
          </w:p>
          <w:p>
            <w:pPr>
              <w:jc w:val="left"/>
            </w:pPr>
            <w:r>
              <w:rPr>
                <w:rFonts w:ascii="Arial" w:cs="Arial" w:eastAsia="Arial" w:hAnsi="Arial"/>
                <w:sz w:val="24"/>
                <w:szCs w:val="24"/>
              </w:rPr>
              <w:t xml:space="preserve">2021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понятия лотерейная деятельность, созданы условия и возможности для привлечения инвесторов в рамках государственно-частного партнерства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sz w:val="24"/>
          <w:szCs w:val="24"/>
        </w:rPr>
        <w:t xml:space="preserve">Госфиннадзор при МЭФКР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Министерстве экономики и финансов Кыргызской Республики;</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ГЦБ</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sz w:val="24"/>
          <w:szCs w:val="24"/>
        </w:rPr>
        <w:t xml:space="preserve">ИИС</w:t>
      </w:r>
      <w:r>
        <w:rPr>
          <w:rFonts w:ascii="Arial" w:cs="Arial" w:eastAsia="Arial" w:hAnsi="Arial"/>
          <w:sz w:val="24"/>
          <w:szCs w:val="24"/>
        </w:rPr>
        <w:t xml:space="preserve">	</w:t>
      </w:r>
      <w:r>
        <w:rPr>
          <w:rFonts w:ascii="Arial" w:cs="Arial" w:eastAsia="Arial" w:hAnsi="Arial"/>
          <w:sz w:val="24"/>
          <w:szCs w:val="24"/>
        </w:rPr>
        <w:t xml:space="preserve">индивидуальный инвестиционный счет;</w:t>
      </w:r>
    </w:p>
    <w:p>
      <w:pPr>
        <w:tabs>
          <w:tab w:val="right" w:pos="10178"/>
        </w:tabs>
        <w:spacing w:after="120"/>
      </w:pPr>
      <w:r>
        <w:rPr>
          <w:rFonts w:ascii="Arial" w:cs="Arial" w:eastAsia="Arial" w:hAnsi="Arial"/>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накопительный пенсионный фонд;</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РРДЦБ</w:t>
      </w:r>
      <w:r>
        <w:rPr>
          <w:rFonts w:ascii="Arial" w:cs="Arial" w:eastAsia="Arial" w:hAnsi="Arial"/>
          <w:sz w:val="24"/>
          <w:szCs w:val="24"/>
        </w:rPr>
        <w:t xml:space="preserve">	</w:t>
      </w:r>
      <w:r>
        <w:rPr>
          <w:rFonts w:ascii="Arial" w:cs="Arial" w:eastAsia="Arial" w:hAnsi="Arial"/>
          <w:sz w:val="24"/>
          <w:szCs w:val="24"/>
        </w:rPr>
        <w:t xml:space="preserve">резервные реестродержатели ценных бумаг;</w:t>
      </w:r>
    </w:p>
    <w:p>
      <w:pPr>
        <w:tabs>
          <w:tab w:val="right" w:pos="10178"/>
        </w:tabs>
        <w:spacing w:after="120"/>
      </w:pPr>
      <w:r>
        <w:rPr>
          <w:rFonts w:ascii="Arial" w:cs="Arial" w:eastAsia="Arial" w:hAnsi="Arial"/>
          <w:sz w:val="24"/>
          <w:szCs w:val="24"/>
        </w:rPr>
        <w:t xml:space="preserve">ЦБД</w:t>
      </w:r>
      <w:r>
        <w:rPr>
          <w:rFonts w:ascii="Arial" w:cs="Arial" w:eastAsia="Arial" w:hAnsi="Arial"/>
          <w:sz w:val="24"/>
          <w:szCs w:val="24"/>
        </w:rPr>
        <w:t xml:space="preserve">	</w:t>
      </w:r>
      <w:r>
        <w:rPr>
          <w:rFonts w:ascii="Arial" w:cs="Arial" w:eastAsia="Arial" w:hAnsi="Arial"/>
          <w:sz w:val="24"/>
          <w:szCs w:val="24"/>
        </w:rPr>
        <w:t xml:space="preserve">центральная база данных;</w:t>
      </w:r>
    </w:p>
    <w:p>
      <w:pPr>
        <w:tabs>
          <w:tab w:val="right" w:pos="10178"/>
        </w:tabs>
        <w:spacing w:after="120"/>
      </w:pPr>
      <w:r>
        <w:rPr>
          <w:rFonts w:ascii="Arial" w:cs="Arial" w:eastAsia="Arial" w:hAnsi="Arial"/>
          <w:sz w:val="24"/>
          <w:szCs w:val="24"/>
        </w:rPr>
        <w:t xml:space="preserve">IPO</w:t>
      </w:r>
      <w:r>
        <w:rPr>
          <w:rFonts w:ascii="Arial" w:cs="Arial" w:eastAsia="Arial" w:hAnsi="Arial"/>
          <w:sz w:val="24"/>
          <w:szCs w:val="24"/>
        </w:rPr>
        <w:t xml:space="preserve">	</w:t>
      </w:r>
      <w:r>
        <w:rPr>
          <w:rFonts w:ascii="Arial" w:cs="Arial" w:eastAsia="Arial" w:hAnsi="Arial"/>
          <w:sz w:val="24"/>
          <w:szCs w:val="24"/>
        </w:rPr>
        <w:t xml:space="preserve">первичное публичное размещение.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m_rlf-7krz5wgntd4mf">
      <w:r>
        <w:rPr>
          <w:rFonts w:ascii="Arial" w:cs="Arial" w:eastAsia="Arial" w:hAnsi="Arial"/>
          <w:color w:val="132D3F"/>
          <w:sz w:val="16"/>
          <w:szCs w:val="16"/>
          <w:u w:val="single"/>
        </w:rPr>
        <w:t xml:space="preserve">dalil.kg/document/158252</w:t>
      </w:r>
    </w:hyperlink>
  </w:p>
  <w:p>
    <w:pPr>
      <w:spacing w:after="0" w:before="40"/>
      <w:jc w:val="center"/>
    </w:pPr>
    <w:hyperlink w:history="1" r:id="rIddf3z8jq4ulopvutpahm6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dhy8qgubsfcydqrxywa3" Type="http://schemas.openxmlformats.org/officeDocument/2006/relationships/hyperlink" Target="https://dalil.kg/document/158252" TargetMode="External"/><Relationship Id="rIdiu5ntxbosqho1zqmymubv" Type="http://schemas.openxmlformats.org/officeDocument/2006/relationships/hyperlink" Target="https://dalil.kg/document/93100" TargetMode="External"/><Relationship Id="rIdejzo4nrvh4holw9nk7p6k" Type="http://schemas.openxmlformats.org/officeDocument/2006/relationships/hyperlink" Target="https://dalil.kg/document/9277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m_rlf-7krz5wgntd4mf" Type="http://schemas.openxmlformats.org/officeDocument/2006/relationships/hyperlink" Target="https://dalil.kg/document/158252" TargetMode="External"/><Relationship Id="rIddf3z8jq4ulopvutpahm6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2026-09-24T15:56:48.547Z</dcterms:created>
  <dcterms:modified xsi:type="dcterms:W3CDTF">2026-09-24T15:56:48.547Z</dcterms:modified>
</cp:coreProperties>
</file>

<file path=docProps/custom.xml><?xml version="1.0" encoding="utf-8"?>
<Properties xmlns="http://schemas.openxmlformats.org/officeDocument/2006/custom-properties" xmlns:vt="http://schemas.openxmlformats.org/officeDocument/2006/docPropsVTypes"/>
</file>