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 И НАЦИОНАЛЬНОГО БАНКА КЫРГЫЗСКОЙ РЕСПУБЛИКИ</w:t>
      </w:r>
    </w:p>
    <w:p>
      <w:pPr>
        <w:spacing w:after="120"/>
        <w:jc w:val="both"/>
      </w:pPr>
      <w:r>
        <w:rPr>
          <w:rFonts w:ascii="Arial" w:cs="Arial" w:eastAsia="Arial" w:hAnsi="Arial"/>
          <w:sz w:val="24"/>
          <w:szCs w:val="24"/>
        </w:rPr>
        <w:t xml:space="preserve">от 30 марта 2021 года № 120/10-1</w:t>
      </w:r>
    </w:p>
    <w:p>
      <w:pPr>
        <w:spacing w:after="120"/>
        <w:jc w:val="both"/>
      </w:pPr>
      <w:r>
        <w:rPr>
          <w:rFonts w:ascii="Arial" w:cs="Arial" w:eastAsia="Arial" w:hAnsi="Arial"/>
          <w:sz w:val="24"/>
          <w:szCs w:val="24"/>
        </w:rPr>
        <w:t xml:space="preserve">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2021 год</w:t>
      </w:r>
    </w:p>
    <w:p>
      <w:pPr>
        <w:spacing w:after="120"/>
        <w:jc w:val="both"/>
      </w:pPr>
      <w:r>
        <w:rPr>
          <w:rFonts w:ascii="Arial" w:cs="Arial" w:eastAsia="Arial" w:hAnsi="Arial"/>
          <w:sz w:val="24"/>
          <w:szCs w:val="24"/>
        </w:rPr>
        <w:t xml:space="preserve">В целях определения и реализации основных направлений экономической политики на 2021 год, в соответствии со статьями </w:t>
      </w:r>
      <w:hyperlink w:history="1" r:id="rIdtd-ykpwvq2hjbccfby86k">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vok7p86rzoa7bb2mwj65_">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статьями </w:t>
      </w:r>
      <w:hyperlink w:history="1" r:id="rIdoeqxgopjqjuhd_xzda6-u">
        <w:r>
          <w:rPr>
            <w:rFonts w:ascii="Arial" w:cs="Arial" w:eastAsia="Arial" w:hAnsi="Arial"/>
            <w:color w:val="1D4ED8"/>
            <w:sz w:val="24"/>
            <w:szCs w:val="24"/>
            <w:u w:val="single"/>
          </w:rPr>
          <w:t xml:space="preserve">17</w:t>
        </w:r>
      </w:hyperlink>
      <w:r>
        <w:rPr>
          <w:rFonts w:ascii="Arial" w:cs="Arial" w:eastAsia="Arial" w:hAnsi="Arial"/>
          <w:sz w:val="24"/>
          <w:szCs w:val="24"/>
        </w:rPr>
        <w:t xml:space="preserve"> и </w:t>
      </w:r>
      <w:hyperlink w:history="1" r:id="rIdakrr6ifqcgsbbxlp8gigd">
        <w:r>
          <w:rPr>
            <w:rFonts w:ascii="Arial" w:cs="Arial" w:eastAsia="Arial" w:hAnsi="Arial"/>
            <w:color w:val="1D4ED8"/>
            <w:sz w:val="24"/>
            <w:szCs w:val="24"/>
            <w:u w:val="single"/>
          </w:rPr>
          <w:t xml:space="preserve">46</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Правительство Кыргызской Республики и Национальный банк Кыргызской Республики </w:t>
      </w:r>
      <w:r>
        <w:rPr>
          <w:rFonts w:ascii="Arial" w:cs="Arial" w:eastAsia="Arial" w:hAnsi="Arial"/>
          <w:b/>
          <w:bCs/>
          <w:sz w:val="24"/>
          <w:szCs w:val="24"/>
        </w:rPr>
        <w:t xml:space="preserve">постановляют:</w:t>
      </w:r>
    </w:p>
    <w:p>
      <w:pPr>
        <w:spacing w:after="120"/>
        <w:jc w:val="both"/>
      </w:pPr>
      <w:r>
        <w:rPr>
          <w:rFonts w:ascii="Arial" w:cs="Arial" w:eastAsia="Arial" w:hAnsi="Arial"/>
          <w:sz w:val="24"/>
          <w:szCs w:val="24"/>
        </w:rPr>
        <w:t xml:space="preserve">1. Одобрить </w:t>
      </w:r>
      <w:hyperlink w:history="1" r:id="rIdhjsuxi9ogjwfisdtthvyk">
        <w:r>
          <w:rPr>
            <w:rFonts w:ascii="Arial" w:cs="Arial" w:eastAsia="Arial" w:hAnsi="Arial"/>
            <w:color w:val="1D4ED8"/>
            <w:sz w:val="24"/>
            <w:szCs w:val="24"/>
            <w:u w:val="single"/>
          </w:rPr>
          <w:t xml:space="preserve">Совместное заявление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основных направлениях экономической политики на 2021 год согласно приложению.</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 Тоо" от 6 апреля 2021 года № 31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Председатель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СОВМЕСТНОЕ ЗАЯВЛЕНИЕ</w:t>
      </w:r>
      <w:r>
        <w:rPr>
          <w:rFonts w:ascii="Arial" w:cs="Arial" w:eastAsia="Arial" w:hAnsi="Arial"/>
          <w:b/>
          <w:bCs/>
          <w:sz w:val="32"/>
          <w:szCs w:val="32"/>
        </w:rPr>
        <w:t xml:space="preserve">
 Правительства Кыргызской Республики и Национального банка Кыргызской Республики об основных направлениях экономической политики на 2021 год</w:t>
      </w:r>
    </w:p>
    <w:p>
      <w:pPr>
        <w:spacing w:after="120"/>
        <w:jc w:val="both"/>
      </w:pPr>
      <w:r>
        <w:rPr>
          <w:rFonts w:ascii="Arial" w:cs="Arial" w:eastAsia="Arial" w:hAnsi="Arial"/>
          <w:sz w:val="24"/>
          <w:szCs w:val="24"/>
        </w:rPr>
        <w:t xml:space="preserve">2020 год был не самым простым годом для человечества, и мы оказались в новой реальности из-за пандемии COVID-19, которая внесла коррективы в развитие мировой и национальной экономики.</w:t>
      </w:r>
    </w:p>
    <w:p>
      <w:pPr>
        <w:spacing w:after="120"/>
        <w:jc w:val="both"/>
      </w:pPr>
      <w:r>
        <w:rPr>
          <w:rFonts w:ascii="Arial" w:cs="Arial" w:eastAsia="Arial" w:hAnsi="Arial"/>
          <w:sz w:val="24"/>
          <w:szCs w:val="24"/>
        </w:rPr>
        <w:t xml:space="preserve">Пандемия COVID-19 с торговыми войнами, протекционизмом, а также волатильной динамикой цен на энергоресурсы ввергла мировую экономику в самую глубокую рецессию со времен Второй мировой войны. Транснациональные торговые связи и цепочки поставок были нарушены, потребительский спрос сократился, миллионы людей остались без работы. Из-за пандемии к началу 2021 года от 110 до 150 млн. человек в мире оказались в нищете.</w:t>
      </w:r>
    </w:p>
    <w:p>
      <w:pPr>
        <w:spacing w:after="120"/>
        <w:jc w:val="both"/>
      </w:pPr>
      <w:r>
        <w:rPr>
          <w:rFonts w:ascii="Arial" w:cs="Arial" w:eastAsia="Arial" w:hAnsi="Arial"/>
          <w:sz w:val="24"/>
          <w:szCs w:val="24"/>
        </w:rPr>
        <w:t xml:space="preserve">Из-за применения ограничительных мер существенно замедлилась экономическая активность во всех странах, соответственно продолжался спад мировой торговли, по предварительным оценкам Экономической и социальной комиссии ООН для Азии и Тихого океана (ЭСКАТО), в 2020 году мировая торговля в целом сократилась на 14,5%, и это самое большое сокращение с 2009 года, когда спад составлял 22%.</w:t>
      </w:r>
    </w:p>
    <w:p>
      <w:pPr>
        <w:spacing w:after="120"/>
        <w:jc w:val="both"/>
      </w:pPr>
      <w:r>
        <w:rPr>
          <w:rFonts w:ascii="Arial" w:cs="Arial" w:eastAsia="Arial" w:hAnsi="Arial"/>
          <w:sz w:val="24"/>
          <w:szCs w:val="24"/>
        </w:rPr>
        <w:t xml:space="preserve">Столкнувшись с вызванным коронавирусом кризисом, правительства по всему миру привели в действие механизмы финансового стимулирования. Бюджетные ассигнования, объем которых доходил до 10-20% от ВВП, были направлены на поддержание систем здравоохранения и борьбу с пандемией, а также сохранение средств к существованию граждан.</w:t>
      </w:r>
    </w:p>
    <w:p>
      <w:pPr>
        <w:spacing w:after="120"/>
        <w:jc w:val="both"/>
      </w:pPr>
      <w:r>
        <w:rPr>
          <w:rFonts w:ascii="Arial" w:cs="Arial" w:eastAsia="Arial" w:hAnsi="Arial"/>
          <w:sz w:val="24"/>
          <w:szCs w:val="24"/>
        </w:rPr>
        <w:t xml:space="preserve">В этих условиях, в целях упреждения глубокого экономического спада, поддержки деятельности субъектов предпринимательства и населения Правительством Кыргызской Республики (далее - Правительство) совместно с Национальным банком Кыргызской Республики (далее - Национальный банк) принимались безотлагательные меры поддержки и стимулирования экономики для ее стабилизации. Был принят Пакет мер по сглаживанию негативного влияния на экономику страны, для поддержки субъектов предпринимательства разработаны и реализовывались фискальные и финансовые меры поддержки.</w:t>
      </w:r>
    </w:p>
    <w:p>
      <w:pPr>
        <w:spacing w:after="120"/>
        <w:jc w:val="both"/>
      </w:pPr>
      <w:r>
        <w:rPr>
          <w:rFonts w:ascii="Arial" w:cs="Arial" w:eastAsia="Arial" w:hAnsi="Arial"/>
          <w:sz w:val="24"/>
          <w:szCs w:val="24"/>
        </w:rPr>
        <w:t xml:space="preserve">Однако усугубило состояние экономики Кыргызской Республики произошедшее в стране в октябре месяце общественно-политическое событие, которое увеличило разрыв отрицательной динамики.</w:t>
      </w:r>
    </w:p>
    <w:p>
      <w:pPr>
        <w:spacing w:after="120"/>
        <w:jc w:val="both"/>
      </w:pPr>
      <w:r>
        <w:rPr>
          <w:rFonts w:ascii="Arial" w:cs="Arial" w:eastAsia="Arial" w:hAnsi="Arial"/>
          <w:sz w:val="24"/>
          <w:szCs w:val="24"/>
        </w:rPr>
        <w:t xml:space="preserve">В результате, по предварительной оценке Национального статистического комитета, в Кыргызской Республике уровень экономического спада за 2020 год, наряду с Арменией (-7,5%), сложился высоким среди стран ЕАЭС и составил (-)8,6%: в России снижение составило 3,1%, Белоруссии - 0,9%, Казахстане - 2,6%, при этом в Китае с августа месяца 2020 года из-за постепенного снятия карантинных ограничений наблюдается восстановление экономической активности, где экономика выросла на 2,3%.</w:t>
      </w:r>
    </w:p>
    <w:p>
      <w:pPr>
        <w:spacing w:after="120"/>
        <w:jc w:val="both"/>
      </w:pPr>
      <w:r>
        <w:rPr>
          <w:rFonts w:ascii="Arial" w:cs="Arial" w:eastAsia="Arial" w:hAnsi="Arial"/>
          <w:sz w:val="24"/>
          <w:szCs w:val="24"/>
        </w:rPr>
        <w:t xml:space="preserve">Скоординированная денежно-кредитная и налогово-бюджетная политики способствовали удержанию среднегодового значения инфляции (январь-декабрь 2020 года к январю-декабрю 2019 года) в пределах среднесрочного целевого ориентира в 5,0-7,0%, которое составило 6,3%.</w:t>
      </w:r>
    </w:p>
    <w:p>
      <w:pPr>
        <w:spacing w:after="120"/>
        <w:jc w:val="both"/>
      </w:pPr>
      <w:r>
        <w:rPr>
          <w:rFonts w:ascii="Arial" w:cs="Arial" w:eastAsia="Arial" w:hAnsi="Arial"/>
          <w:sz w:val="24"/>
          <w:szCs w:val="24"/>
        </w:rPr>
        <w:t xml:space="preserve">На фоне увеличения расходов для поддержки населения и деятельности субъектов предпринимательства, вырос размер дефицита бюджета и за 2020 год составил 3,3% к ВВП.</w:t>
      </w:r>
    </w:p>
    <w:p>
      <w:pPr>
        <w:spacing w:after="120"/>
        <w:jc w:val="both"/>
      </w:pPr>
      <w:r>
        <w:rPr>
          <w:rFonts w:ascii="Arial" w:cs="Arial" w:eastAsia="Arial" w:hAnsi="Arial"/>
          <w:sz w:val="24"/>
          <w:szCs w:val="24"/>
        </w:rPr>
        <w:t xml:space="preserve">Волатильность обменного курса доллара США по отношению к сому, в силу влияния глобальных изменений, привела к резкому росту уровня государственного долга, который по состоянию на 31 декабря 2020 года составил 68,1% к ВВП.</w:t>
      </w:r>
    </w:p>
    <w:p>
      <w:pPr>
        <w:spacing w:after="120"/>
        <w:jc w:val="both"/>
      </w:pPr>
      <w:r>
        <w:rPr>
          <w:rFonts w:ascii="Arial" w:cs="Arial" w:eastAsia="Arial" w:hAnsi="Arial"/>
          <w:sz w:val="24"/>
          <w:szCs w:val="24"/>
        </w:rPr>
        <w:t xml:space="preserve">Несмотря на сложившуюся ситуацию, Правительству удалось обеспечить своевременное выполнение всех запланированных обязательств государства в области социальной защиты и пенсионного обеспечения.</w:t>
      </w:r>
    </w:p>
    <w:p>
      <w:pPr>
        <w:spacing w:after="120"/>
        <w:jc w:val="both"/>
      </w:pPr>
      <w:r>
        <w:rPr>
          <w:rFonts w:ascii="Arial" w:cs="Arial" w:eastAsia="Arial" w:hAnsi="Arial"/>
          <w:sz w:val="24"/>
          <w:szCs w:val="24"/>
        </w:rPr>
        <w:t xml:space="preserve">В целях обеспечения дальнейшей поддержки жизненного уровня пенсионеров с 1 октября 2020 года, в соответствии с постановлениями Правительства Кыргызской Республики от 11 сентября 2020 года № 480 и 481 проведена индексация базовой и страховых частей пенсии.</w:t>
      </w:r>
    </w:p>
    <w:p>
      <w:pPr>
        <w:spacing w:after="120"/>
        <w:jc w:val="both"/>
      </w:pPr>
      <w:r>
        <w:rPr>
          <w:rFonts w:ascii="Arial" w:cs="Arial" w:eastAsia="Arial" w:hAnsi="Arial"/>
          <w:sz w:val="24"/>
          <w:szCs w:val="24"/>
        </w:rPr>
        <w:t xml:space="preserve">В настоящее время мир находится в состоянии турбулентности. Сохраняющаяся неопределенность динамики мировой экономики и финансовых рынков усугубляется негативным влиянием пандемии коронавируса (заболеваемость в четвертом квартале 2020 года и в начале 2021 года резко выросла, что вынудило правительства стран сохранить или вновь ввести меры по смягчению остроты кризиса). Возник риск затяжного низкого роста экономик. Большинство стран мира активно работают над оценками экономических потерь из-за пандемии и разрабатывают программы и планы посткризисного восстановления экономик.</w:t>
      </w:r>
    </w:p>
    <w:p>
      <w:pPr>
        <w:spacing w:after="120"/>
        <w:jc w:val="both"/>
      </w:pPr>
      <w:r>
        <w:rPr>
          <w:rFonts w:ascii="Arial" w:cs="Arial" w:eastAsia="Arial" w:hAnsi="Arial"/>
          <w:sz w:val="24"/>
          <w:szCs w:val="24"/>
        </w:rPr>
        <w:t xml:space="preserve">События 2020 года обнажили многочисленные проблемы в системе здравоохранения, образования, обеспечения продовольственной безопасности, структуре экономики. В этой связи необходимо проведение комплексных реформ.</w:t>
      </w:r>
    </w:p>
    <w:p>
      <w:pPr>
        <w:spacing w:after="120"/>
        <w:jc w:val="both"/>
      </w:pPr>
      <w:r>
        <w:rPr>
          <w:rFonts w:ascii="Arial" w:cs="Arial" w:eastAsia="Arial" w:hAnsi="Arial"/>
          <w:sz w:val="24"/>
          <w:szCs w:val="24"/>
        </w:rPr>
        <w:t xml:space="preserve">Для своевременного реагирования на изменения экономической ситуации и выработки рекомендаций по поддержке и развитию предпринимательской и инвестиционной деятельности, а также повышению конкурентоспособности экономики образован Совет по экономическим реформам при Правительстве Кыргызской Республики.</w:t>
      </w:r>
    </w:p>
    <w:p>
      <w:pPr>
        <w:spacing w:after="120"/>
        <w:jc w:val="both"/>
      </w:pPr>
      <w:r>
        <w:rPr>
          <w:rFonts w:ascii="Arial" w:cs="Arial" w:eastAsia="Arial" w:hAnsi="Arial"/>
          <w:sz w:val="24"/>
          <w:szCs w:val="24"/>
        </w:rPr>
        <w:t xml:space="preserve">В связи с динамичностью происходящих событий, появлением новых вызовов предстоит актуализация основных ориентиров/направлений и мер политики, отраженных в Национальной стратегии развития Кыргызской Республики на 2018-2040 годы.</w:t>
      </w:r>
    </w:p>
    <w:p>
      <w:pPr>
        <w:spacing w:after="120"/>
        <w:jc w:val="both"/>
      </w:pPr>
      <w:r>
        <w:rPr>
          <w:rFonts w:ascii="Arial" w:cs="Arial" w:eastAsia="Arial" w:hAnsi="Arial"/>
          <w:sz w:val="24"/>
          <w:szCs w:val="24"/>
        </w:rPr>
        <w:t xml:space="preserve">Согласно оценке, рост экономики в 2021 году будет умеренным, поскольку новые вспышки заболеваемости COVID-19 постоянно подрывают деловую активность. Ожидается, что восстановлению экономики будут способствовать распространение действенной вакцинации, сохранение мер экономической поддержки, постепенное восстановление внутреннего и внешнего спроса.</w:t>
      </w:r>
    </w:p>
    <w:p>
      <w:pPr>
        <w:spacing w:after="120"/>
        <w:jc w:val="both"/>
      </w:pPr>
      <w:r>
        <w:rPr>
          <w:rFonts w:ascii="Arial" w:cs="Arial" w:eastAsia="Arial" w:hAnsi="Arial"/>
          <w:sz w:val="24"/>
          <w:szCs w:val="24"/>
        </w:rPr>
        <w:t xml:space="preserve">Разработан План Правительства Кыргызской Республики на 2021 год, предусматривающий меры по поддержке малого и среднего бизнеса, экспортно-импортных операций и защите инвесторов, обеспечению устойчивости государственного бюджета, поддержке социальной стабильности, обеспечению продовольственной безопасности и реализации проектов развития в условиях кризиса.</w:t>
      </w:r>
    </w:p>
    <w:p>
      <w:pPr>
        <w:spacing w:after="120"/>
        <w:jc w:val="both"/>
      </w:pPr>
      <w:r>
        <w:rPr>
          <w:rFonts w:ascii="Arial" w:cs="Arial" w:eastAsia="Arial" w:hAnsi="Arial"/>
          <w:sz w:val="24"/>
          <w:szCs w:val="24"/>
        </w:rPr>
        <w:t xml:space="preserve">Главный приоритет - улучшение качества жизни и повышение благосостояния населения.</w:t>
      </w:r>
    </w:p>
    <w:p>
      <w:pPr>
        <w:spacing w:after="120"/>
        <w:jc w:val="both"/>
      </w:pPr>
      <w:r>
        <w:rPr>
          <w:rFonts w:ascii="Arial" w:cs="Arial" w:eastAsia="Arial" w:hAnsi="Arial"/>
          <w:sz w:val="24"/>
          <w:szCs w:val="24"/>
        </w:rPr>
        <w:t xml:space="preserve">Перед Правительством и Национальным банком стоит задача по обеспечению макроэкономической стабильности, включая меры по сдерживанию роста уровня потребительских цен, для чего особое внимание будет уделено реализации мер по следующим направлениям:</w:t>
      </w:r>
    </w:p>
    <w:p>
      <w:pPr>
        <w:spacing w:after="120"/>
        <w:jc w:val="both"/>
      </w:pPr>
      <w:r>
        <w:rPr>
          <w:rFonts w:ascii="Arial" w:cs="Arial" w:eastAsia="Arial" w:hAnsi="Arial"/>
          <w:sz w:val="24"/>
          <w:szCs w:val="24"/>
        </w:rPr>
        <w:t xml:space="preserve">1) создание условий для восстановления экономического развития страны, полноценного функционирования хозяйствующих субъектов и обеспечение выхода на положительную динамику экономического роста.</w:t>
      </w:r>
    </w:p>
    <w:p>
      <w:pPr>
        <w:spacing w:after="120"/>
        <w:jc w:val="both"/>
      </w:pPr>
      <w:r>
        <w:rPr>
          <w:rFonts w:ascii="Arial" w:cs="Arial" w:eastAsia="Arial" w:hAnsi="Arial"/>
          <w:sz w:val="24"/>
          <w:szCs w:val="24"/>
        </w:rPr>
        <w:t xml:space="preserve">Повышение благосостояния населения невозможно без поступательного роста национальной экономики. Правительство продолжит контрцикличную макроэкономическую политику, направленную на поддержку экономической активности. Будет продолжена реализация мер поддержки предприятий и граждан (поддержка самозанятых, создание основ регулирования для новых видов предпринимательской деятельности, реализация перспективных проектов), работа над формированием лучших условий для отечественного бизнеса, с привлечением инвестиций, а также поиском новых "точек роста".</w:t>
      </w:r>
    </w:p>
    <w:p>
      <w:pPr>
        <w:spacing w:after="120"/>
        <w:jc w:val="both"/>
      </w:pPr>
      <w:r>
        <w:rPr>
          <w:rFonts w:ascii="Arial" w:cs="Arial" w:eastAsia="Arial" w:hAnsi="Arial"/>
          <w:sz w:val="24"/>
          <w:szCs w:val="24"/>
        </w:rPr>
        <w:t xml:space="preserve">В 2021 году продолжится работа по консолидации бюджета с целью снижения бюджетного дефицита и сохранения устойчивости долговой ситуации с сохранением осторожного подхода при привлечении или гарантировании новых долговых обязательств. Совершенствование будет проходить в сфере сбора страховых платежей, посредством введения на территории республики новых информационных технологий, которые будут направлены на защиту ответственных и добросовестных налогоплательщиков и граждан Кыргызской Республики. Планируется создание национального компонента для системы прослеживаемости и оборота товаров, завершение установки цифровых систем видеонаблюдения в пунктах пропуска, а также работа по повышению рейтинга Кыргызской Республики на мировой арене по показателю "Налогообложение". В целях увеличения доходов бюджета и уменьшения доли теневой экономики будет проводиться активная работа по внедрению электронной системы фискализации налоговых процедур, налогообложению майнинга криптовалют, расширению перечня нефтепродуктов, подлежащих обложению акцизным налогом, а также актуализации стоимостного значения основных средств, добровольному декларированию имущества и доходов физическими лицами, реструктуризации задолженности по начисленным процентам, пени, налоговым санкциям, штрафам по страховым взносам.</w:t>
      </w:r>
    </w:p>
    <w:p>
      <w:pPr>
        <w:spacing w:after="120"/>
        <w:jc w:val="both"/>
      </w:pPr>
      <w:r>
        <w:rPr>
          <w:rFonts w:ascii="Arial" w:cs="Arial" w:eastAsia="Arial" w:hAnsi="Arial"/>
          <w:sz w:val="24"/>
          <w:szCs w:val="24"/>
        </w:rPr>
        <w:t xml:space="preserve">В рамках совершенствования фискальной политики предстоит провести ревизию Налогового кодекса с точки зрения его упрощения, стимулирования деловой активности и конкуренции, начнется полномасштабная работа по разработке новой редакции Налогового кодекса Кыргызской Республики.</w:t>
      </w:r>
    </w:p>
    <w:p>
      <w:pPr>
        <w:spacing w:after="120"/>
        <w:jc w:val="both"/>
      </w:pPr>
      <w:r>
        <w:rPr>
          <w:rFonts w:ascii="Arial" w:cs="Arial" w:eastAsia="Arial" w:hAnsi="Arial"/>
          <w:sz w:val="24"/>
          <w:szCs w:val="24"/>
        </w:rPr>
        <w:t xml:space="preserve">Бюджетно-налоговая политика будет направлена на сохранение важных расходов на здравоохранение, а также принятие мер по обеспечению наличия должной системы социальной защиты. Бюджетная политика будет реализовываться в соответствии со </w:t>
      </w:r>
      <w:hyperlink w:history="1" r:id="rIdzemwkuexju5t5qsk6lq44">
        <w:r>
          <w:rPr>
            <w:rFonts w:ascii="Arial" w:cs="Arial" w:eastAsia="Arial" w:hAnsi="Arial"/>
            <w:color w:val="1D4ED8"/>
            <w:sz w:val="24"/>
            <w:szCs w:val="24"/>
            <w:u w:val="single"/>
          </w:rPr>
          <w:t xml:space="preserve">Стратегией</w:t>
        </w:r>
      </w:hyperlink>
      <w:r>
        <w:rPr>
          <w:rFonts w:ascii="Arial" w:cs="Arial" w:eastAsia="Arial" w:hAnsi="Arial"/>
          <w:sz w:val="24"/>
          <w:szCs w:val="24"/>
        </w:rPr>
        <w:t xml:space="preserve"> развития управления государственными финансами на 2017-2025 годы (</w:t>
      </w:r>
      <w:hyperlink w:history="1" r:id="rIdse7qepv0n8tcg0zhj1sk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декабря 2016 года № 696), </w:t>
      </w:r>
      <w:hyperlink w:history="1" r:id="rIdzcictctueahqgulfsv6iw">
        <w:r>
          <w:rPr>
            <w:rFonts w:ascii="Arial" w:cs="Arial" w:eastAsia="Arial" w:hAnsi="Arial"/>
            <w:color w:val="1D4ED8"/>
            <w:sz w:val="24"/>
            <w:szCs w:val="24"/>
            <w:u w:val="single"/>
          </w:rPr>
          <w:t xml:space="preserve">Основными направлениями</w:t>
        </w:r>
      </w:hyperlink>
      <w:r>
        <w:rPr>
          <w:rFonts w:ascii="Arial" w:cs="Arial" w:eastAsia="Arial" w:hAnsi="Arial"/>
          <w:sz w:val="24"/>
          <w:szCs w:val="24"/>
        </w:rPr>
        <w:t xml:space="preserve"> фискальной политики Кыргызской Республики на 2021-2023 годы (</w:t>
      </w:r>
      <w:hyperlink w:history="1" r:id="rIdqiqvv-5jboyb6siqi6xr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сентября 2020 года № 483).</w:t>
      </w:r>
    </w:p>
    <w:p>
      <w:pPr>
        <w:spacing w:after="120"/>
        <w:jc w:val="both"/>
      </w:pPr>
      <w:r>
        <w:rPr>
          <w:rFonts w:ascii="Arial" w:cs="Arial" w:eastAsia="Arial" w:hAnsi="Arial"/>
          <w:sz w:val="24"/>
          <w:szCs w:val="24"/>
        </w:rPr>
        <w:t xml:space="preserve">В 2021 году расходы будут направлены на финансирование социальных, экономически значимых, инфраструктурных мероприятий, таких как продолжение мероприятий в рамках судебно-правовой реформы, проведение переписи населения и жилищного фонда, развитие регионов, мероприятий в рамках компонента "Безопасный город", реконструкцию дорог и др.</w:t>
      </w:r>
    </w:p>
    <w:p>
      <w:pPr>
        <w:spacing w:after="120"/>
        <w:jc w:val="both"/>
      </w:pPr>
      <w:r>
        <w:rPr>
          <w:rFonts w:ascii="Arial" w:cs="Arial" w:eastAsia="Arial" w:hAnsi="Arial"/>
          <w:sz w:val="24"/>
          <w:szCs w:val="24"/>
        </w:rPr>
        <w:t xml:space="preserve">Политика в части управления государственным долгом Кыргызской Республики будет реализовываться в соответствии со Стратегией управления государственным долгом Кыргызской Республики на 2020-2023 годы (постановление Правительства Кыргызской Республики от 4 августа 2020 года № 79), направленной на обеспечение потребностей Правительства в финансировании наиболее приоритетных программ, экономический рост и сокращение бедности; развитие рынка государственных ценных бумаг, поддержание устойчивости государственного долга. Усилия Правительства в области управления государственным долгом будут направлены на снижение рисков, связанных с привлечением займов, и обеспечение платежей по своевременному погашению государственного долга страны.</w:t>
      </w:r>
    </w:p>
    <w:p>
      <w:pPr>
        <w:spacing w:after="120"/>
        <w:jc w:val="both"/>
      </w:pPr>
      <w:r>
        <w:rPr>
          <w:rFonts w:ascii="Arial" w:cs="Arial" w:eastAsia="Arial" w:hAnsi="Arial"/>
          <w:sz w:val="24"/>
          <w:szCs w:val="24"/>
        </w:rPr>
        <w:t xml:space="preserve">Восстановление экономического роста должно быть обеспечено высоким уровнем инвестиций. В части повышения инвестиционной привлекательности основное внимание будет уделено предоставлению повышенных гарантий безопасности инвестиций, стабильности режима, простоты регулирования, применения механизмов государственно-частного регулирования. В целях предоставления преференций внутренним и внешним инвесторам, а также реализации механизмов государственно-частного партнерства (далее - ГЧП) и повышения инвестиционной привлекательности страны будут разработаны Стратегия развития по привлечению инвестиций на 2021-2025 годы и Программа развития ГЧП в Кыргызской Республике на 2021-2026 годы, где основной целью будет обеспечение согласованной политики в сфере ГЧП в соответствии с лучшей международной практикой и внедрением фискально-ответственного подхода к ГЧП.</w:t>
      </w:r>
    </w:p>
    <w:p>
      <w:pPr>
        <w:spacing w:after="120"/>
        <w:jc w:val="both"/>
      </w:pPr>
      <w:r>
        <w:rPr>
          <w:rFonts w:ascii="Arial" w:cs="Arial" w:eastAsia="Arial" w:hAnsi="Arial"/>
          <w:sz w:val="24"/>
          <w:szCs w:val="24"/>
        </w:rPr>
        <w:t xml:space="preserve">Политика Правительства по развитию малого и среднего предпринимательства будет направлена на улучшение качества обслуживания налогоплательщиков и упрощение процедур взаимодействия предпринимателей с государственными органами исполнительной власти и местными органами самоуправления.</w:t>
      </w:r>
    </w:p>
    <w:p>
      <w:pPr>
        <w:spacing w:after="120"/>
        <w:jc w:val="both"/>
      </w:pPr>
      <w:r>
        <w:rPr>
          <w:rFonts w:ascii="Arial" w:cs="Arial" w:eastAsia="Arial" w:hAnsi="Arial"/>
          <w:sz w:val="24"/>
          <w:szCs w:val="24"/>
        </w:rPr>
        <w:t xml:space="preserve">Создание условий для формирования, развития и защиты конкуренции, совершенствование институтов защиты конкуренции остается одним из важных приоритетов государственной политики.</w:t>
      </w:r>
    </w:p>
    <w:p>
      <w:pPr>
        <w:spacing w:after="120"/>
        <w:jc w:val="both"/>
      </w:pPr>
      <w:r>
        <w:rPr>
          <w:rFonts w:ascii="Arial" w:cs="Arial" w:eastAsia="Arial" w:hAnsi="Arial"/>
          <w:sz w:val="24"/>
          <w:szCs w:val="24"/>
        </w:rPr>
        <w:t xml:space="preserve">Реализация вышеуказанных мер будет служить основой для дальнейшего развития секторов экономики.</w:t>
      </w:r>
    </w:p>
    <w:p>
      <w:pPr>
        <w:spacing w:after="120"/>
        <w:jc w:val="both"/>
      </w:pPr>
      <w:r>
        <w:rPr>
          <w:rFonts w:ascii="Arial" w:cs="Arial" w:eastAsia="Arial" w:hAnsi="Arial"/>
          <w:sz w:val="24"/>
          <w:szCs w:val="24"/>
        </w:rPr>
        <w:t xml:space="preserve">Агропромышленный сектор экономики будет оставаться одним из ключевых секторов в обеспечении продовольственной устойчивости и безопасности страны, занятости населения, основной целью которого является создание условий для роста производства, повышение качества продукции.</w:t>
      </w:r>
    </w:p>
    <w:p>
      <w:pPr>
        <w:spacing w:after="120"/>
        <w:jc w:val="both"/>
      </w:pPr>
      <w:r>
        <w:rPr>
          <w:rFonts w:ascii="Arial" w:cs="Arial" w:eastAsia="Arial" w:hAnsi="Arial"/>
          <w:sz w:val="24"/>
          <w:szCs w:val="24"/>
        </w:rPr>
        <w:t xml:space="preserve">Развитие промышленного производства будет осуществляться в рамках реализации </w:t>
      </w:r>
      <w:hyperlink w:history="1" r:id="rIdqhrh17qwje_ksvl8wqlpq">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устойчивого развития промышленности Кыргызской Республики на 2019-2023 годы (</w:t>
      </w:r>
      <w:hyperlink w:history="1" r:id="rIdarqvzwsmg35aajty06dy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сентября 2019 года № 502), направленной на развитие промышленности в регионах, с учетом их специализации по кластерам, определение конкретных мер поддержки промышленности в регионах с обеспечением доступа к финансированию, инфраструктурным и человеческим ресурсам; </w:t>
      </w:r>
      <w:hyperlink w:history="1" r:id="rIdzuuxhuhga1xpxzh4wrykp">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пищевой и перерабатывающей промышленности Кыргызской Республики на 2017-2021 годы и Плана мероприятий по ее реализации (</w:t>
      </w:r>
      <w:hyperlink w:history="1" r:id="rIdi3knuyov2ggymwy-uvzl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марта 2017 года № 191).</w:t>
      </w:r>
    </w:p>
    <w:p>
      <w:pPr>
        <w:spacing w:after="120"/>
        <w:jc w:val="both"/>
      </w:pPr>
      <w:r>
        <w:rPr>
          <w:rFonts w:ascii="Arial" w:cs="Arial" w:eastAsia="Arial" w:hAnsi="Arial"/>
          <w:sz w:val="24"/>
          <w:szCs w:val="24"/>
        </w:rPr>
        <w:t xml:space="preserve">Развитие отрасли предусматривается путем повышения экспортного потенциала через кооперирование и кластеризацию по региональному принципу, внедрение технополисов, включая диверсификацию рынков и улучшение логистики поставок.</w:t>
      </w:r>
    </w:p>
    <w:p>
      <w:pPr>
        <w:spacing w:after="120"/>
        <w:jc w:val="both"/>
      </w:pPr>
      <w:r>
        <w:rPr>
          <w:rFonts w:ascii="Arial" w:cs="Arial" w:eastAsia="Arial" w:hAnsi="Arial"/>
          <w:sz w:val="24"/>
          <w:szCs w:val="24"/>
        </w:rPr>
        <w:t xml:space="preserve">Приоритетами государственной политики в строительном секторе станут следующие направления: развитие инфраструктуры в регионах посредством строительства объектов социально-культурного назначения, обеспечение градостроительной документацией населенных пунктов, дальнейшие меры по упрощению административных барьеров для развития предпринимательства, задействованного в строительной отрасли, и мер по упрощению процесса получения услуг в архитектурно-градостроительной сфере. Планируется внедрение информационной системы по выдаче разрешительных документов на проектирование, строительство и иные изменения объектов недвижимости, обеспечение порядка приемки в эксплуатацию завершенных строительством объектов, с последующим присоединением к системе "Тундук". Будут продолжены работы по разработке генеральных планов развития населенных пунктов республики; строительству и капитальному ремонту объектов социально-культурного назначения; упрощению административных процедур для бизнеса и совершенствованию системы предоставления услуг в архитектурно-градостроительной сфере.</w:t>
      </w:r>
    </w:p>
    <w:p>
      <w:pPr>
        <w:spacing w:after="120"/>
        <w:jc w:val="both"/>
      </w:pPr>
      <w:r>
        <w:rPr>
          <w:rFonts w:ascii="Arial" w:cs="Arial" w:eastAsia="Arial" w:hAnsi="Arial"/>
          <w:sz w:val="24"/>
          <w:szCs w:val="24"/>
        </w:rPr>
        <w:t xml:space="preserve">В сфере туризма будет большое внимание уделено развитию внутреннего туризма во всех регионах страны, имеющих природные, исторические и культурные достопримечательности. Будет разработана Концепция устойчивого развития зимнего туризма Кыргызской Республики на период 2021-2025 годов и План действия по восстановлению и дальнейшему развитию сферы туризма на 2021-2023 годы. Основные усилия будут направлены на привлечение в данную отрасль частного сектора и развитие ГЧП.</w:t>
      </w:r>
    </w:p>
    <w:p>
      <w:pPr>
        <w:spacing w:after="120"/>
        <w:jc w:val="both"/>
      </w:pPr>
      <w:r>
        <w:rPr>
          <w:rFonts w:ascii="Arial" w:cs="Arial" w:eastAsia="Arial" w:hAnsi="Arial"/>
          <w:sz w:val="24"/>
          <w:szCs w:val="24"/>
        </w:rPr>
        <w:t xml:space="preserve">Реализация транзитного потенциала будет оставаться одним из приоритетных направлений страны. В этом направлении будет реализовываться ряд инвестиционных проектов по реабилитации основных автодорог. В целях повышения безопасности полетов будет продолжена работа по модернизации международных аэропортов Кыргызской Республики. Кроме того, будут проводиться меры по обеспечению устойчивой и безопасной работы железнодорожного транспорта с целью удовлетворения потребностей хозяйствующих субъектов в грузовых железнодорожных перевозках и запросов населения Кыргызской Республики в пассажирских перевозках.</w:t>
      </w:r>
    </w:p>
    <w:p>
      <w:pPr>
        <w:spacing w:after="120"/>
        <w:jc w:val="both"/>
      </w:pPr>
      <w:r>
        <w:rPr>
          <w:rFonts w:ascii="Arial" w:cs="Arial" w:eastAsia="Arial" w:hAnsi="Arial"/>
          <w:sz w:val="24"/>
          <w:szCs w:val="24"/>
        </w:rPr>
        <w:t xml:space="preserve">Работа в сфере информационных технологий и связи будет направлена на усиление мер в сфере цифровизации образования путем внедрения обновленной информационной системы управления (ИСУО), переподключения к волоконно-оптическим системам передачи (ВОЛС) общеобразовательных школ республики, ранее подключенных разными провайдерами, предоставления услуг и сервисов в электронном формате на Государственном портале электронных услуг, внедрения программы прослеживаемости импортных товаров с помощью электронных программ, подконтрольных государственному ветеринарному контролю (надзору), и информационной системы "Государственный реестр адвокатов", улучшения доступа населения к государственным услугам.</w:t>
      </w:r>
    </w:p>
    <w:p>
      <w:pPr>
        <w:spacing w:after="120"/>
        <w:jc w:val="both"/>
      </w:pPr>
      <w:r>
        <w:rPr>
          <w:rFonts w:ascii="Arial" w:cs="Arial" w:eastAsia="Arial" w:hAnsi="Arial"/>
          <w:sz w:val="24"/>
          <w:szCs w:val="24"/>
        </w:rPr>
        <w:t xml:space="preserve">Экономическая безопасность должна обеспечиваться с применением новых цифровых технологий. Особое внимание будет уделено дальнейшей цифровизации налоговых и таможенных процедур. Кроме упрощения ведения бизнеса и поддержки предпринимателей, действенная борьба с теневой экономикой позволит обеспечить доходную часть бюджета и выполнить взятые социальные обязательства.</w:t>
      </w:r>
    </w:p>
    <w:p>
      <w:pPr>
        <w:spacing w:after="120"/>
        <w:jc w:val="both"/>
      </w:pPr>
      <w:r>
        <w:rPr>
          <w:rFonts w:ascii="Arial" w:cs="Arial" w:eastAsia="Arial" w:hAnsi="Arial"/>
          <w:sz w:val="24"/>
          <w:szCs w:val="24"/>
        </w:rPr>
        <w:t xml:space="preserve">В целях снижения технических барьеров в торговле будет продолжена работа по установлению единых обязательных требований в технических регламентах ЕАЭС, применению и исполнению технических регламентов ЕАЭС в Кыргызской Республике без изъятий, соответствию технического регулирования в рамках ЕАЭС уровню экономического и научно-технического развития.</w:t>
      </w:r>
    </w:p>
    <w:p>
      <w:pPr>
        <w:spacing w:after="120"/>
        <w:jc w:val="both"/>
      </w:pPr>
      <w:r>
        <w:rPr>
          <w:rFonts w:ascii="Arial" w:cs="Arial" w:eastAsia="Arial" w:hAnsi="Arial"/>
          <w:sz w:val="24"/>
          <w:szCs w:val="24"/>
        </w:rPr>
        <w:t xml:space="preserve">В 2021 году внешнеэкономическая деятельность будет реализовываться в соответствии с </w:t>
      </w:r>
      <w:hyperlink w:history="1" r:id="rIdfx2zxxhau_weq0-spjhqo">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Правительства Кыргызской Республики по развитию экспорта Кыргызской Республики на 2019-2022 годы (</w:t>
      </w:r>
      <w:hyperlink w:history="1" r:id="rIdd1xkciyvkgd05i_ye3lc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декабря 2018 года № 596), направленной на создание благоприятных условий для роста и развития экспортного потенциала республики, выявление и поэтапное устранение имеющихся барьеров, для реализации которой разработан План мероприятий, где заложены меры по созданию инфраструктуры для экспортоориентированных предприятий (транспортно-логистическая инфраструктура, инфраструктура качества) и упрощению их доступа к финансовым ресурсам. Основными направлениями деятельности будут: дальнейшее расширение рынков экспорта через активизацию работы по выходу отечественной продукции на целевые рынки; активизация инструментов экономической дипломатии для продвижения торгово-экономических интересов страны; реализация мероприятий по использованию преимуществ от получения статуса бенефициара ВСП+.</w:t>
      </w:r>
    </w:p>
    <w:p>
      <w:pPr>
        <w:spacing w:after="120"/>
        <w:jc w:val="both"/>
      </w:pPr>
      <w:r>
        <w:rPr>
          <w:rFonts w:ascii="Arial" w:cs="Arial" w:eastAsia="Arial" w:hAnsi="Arial"/>
          <w:sz w:val="24"/>
          <w:szCs w:val="24"/>
        </w:rPr>
        <w:t xml:space="preserve">Будут приложены все усилия для развития цифровой экономики, в том числе и электронной коммерции. Будет разработана Стратегия развития электронной коммерции на 2021-2025 годы, направленная на развитие конкурентных преимуществ в международной торговле и масштабирование возможностей национальной экономики в глобальном пространстве;</w:t>
      </w:r>
    </w:p>
    <w:p>
      <w:pPr>
        <w:spacing w:after="120"/>
        <w:jc w:val="both"/>
      </w:pPr>
      <w:r>
        <w:rPr>
          <w:rFonts w:ascii="Arial" w:cs="Arial" w:eastAsia="Arial" w:hAnsi="Arial"/>
          <w:sz w:val="24"/>
          <w:szCs w:val="24"/>
        </w:rPr>
        <w:t xml:space="preserve">2) обеспечение ценовой стабильности и поддержание стабильности финансовой системы.</w:t>
      </w:r>
    </w:p>
    <w:p>
      <w:pPr>
        <w:spacing w:after="120"/>
        <w:jc w:val="both"/>
      </w:pPr>
      <w:r>
        <w:rPr>
          <w:rFonts w:ascii="Arial" w:cs="Arial" w:eastAsia="Arial" w:hAnsi="Arial"/>
          <w:sz w:val="24"/>
          <w:szCs w:val="24"/>
        </w:rPr>
        <w:t xml:space="preserve">Продолжится проведение денежно-кредитной политики, нацеленной на поддержание ценовой стабильности.</w:t>
      </w:r>
    </w:p>
    <w:p>
      <w:pPr>
        <w:spacing w:after="120"/>
        <w:jc w:val="both"/>
      </w:pPr>
      <w:r>
        <w:rPr>
          <w:rFonts w:ascii="Arial" w:cs="Arial" w:eastAsia="Arial" w:hAnsi="Arial"/>
          <w:sz w:val="24"/>
          <w:szCs w:val="24"/>
        </w:rPr>
        <w:t xml:space="preserve">Главной целью денежно-кредитной политики Национального банка будет удержание среднего уровня инфляции в пределах однозначных показателей в среднесрочном периоде. Для реализации поставленной цели будут использованы все имеющиеся инструменты монетарной политики.</w:t>
      </w:r>
    </w:p>
    <w:p>
      <w:pPr>
        <w:spacing w:after="120"/>
        <w:jc w:val="both"/>
      </w:pPr>
      <w:r>
        <w:rPr>
          <w:rFonts w:ascii="Arial" w:cs="Arial" w:eastAsia="Arial" w:hAnsi="Arial"/>
          <w:sz w:val="24"/>
          <w:szCs w:val="24"/>
        </w:rPr>
        <w:t xml:space="preserve">Достижение стабильности цен и поддержание ее на устойчивом уровне будет способствовать формированию рациональных инфляционных ожиданий экономических субъектов и постепенному оживлению экономической активности. Ценовая стабильность стимулирует предприятия и домашние хозяйства к долгосрочному планированию, что, в свою очередь, служит основой долгосрочного экономического роста и увеличения благосостояния населения. Для достижения целевых ориентиров денежно-кредитная политика будет проводиться с учетом заявленных направлений развития, уделяя особое внимание совершенствованию инструментов денежно-кредитной политики, улучшению процесса принятия решений и коммуникационной составляющей денежно-кредитной политики.</w:t>
      </w:r>
    </w:p>
    <w:p>
      <w:pPr>
        <w:spacing w:after="120"/>
        <w:jc w:val="both"/>
      </w:pPr>
      <w:r>
        <w:rPr>
          <w:rFonts w:ascii="Arial" w:cs="Arial" w:eastAsia="Arial" w:hAnsi="Arial"/>
          <w:sz w:val="24"/>
          <w:szCs w:val="24"/>
        </w:rPr>
        <w:t xml:space="preserve">Эффективное и безопасное функционирование банковской и платежных систем, устойчивое развитие финансового сектора остаются важными факторами, способствующими достижению цели деятельности Национального банка.</w:t>
      </w:r>
    </w:p>
    <w:p>
      <w:pPr>
        <w:spacing w:after="120"/>
        <w:jc w:val="both"/>
      </w:pPr>
      <w:r>
        <w:rPr>
          <w:rFonts w:ascii="Arial" w:cs="Arial" w:eastAsia="Arial" w:hAnsi="Arial"/>
          <w:sz w:val="24"/>
          <w:szCs w:val="24"/>
        </w:rPr>
        <w:t xml:space="preserve">Национальный банк продолжит на регулярной основе оценивать внешние и внутренние факторы воздействия на инфляцию, а также будет придерживаться взвешенного и консервативного подхода при формировании макроэкономических прогнозов, используя весь спектр аналитико-прогнозного инструментария.</w:t>
      </w:r>
    </w:p>
    <w:p>
      <w:pPr>
        <w:spacing w:after="120"/>
        <w:jc w:val="both"/>
      </w:pPr>
      <w:r>
        <w:rPr>
          <w:rFonts w:ascii="Arial" w:cs="Arial" w:eastAsia="Arial" w:hAnsi="Arial"/>
          <w:sz w:val="24"/>
          <w:szCs w:val="24"/>
        </w:rPr>
        <w:t xml:space="preserve">Национальный банк продолжит работу по улучшению каналов воздействия мер денежно-кредитной политики на экономику, прежде всего, на повышение эффективности функционирования процентного канала трансмиссионного механизма денежно-кредитной политики.</w:t>
      </w:r>
    </w:p>
    <w:p>
      <w:pPr>
        <w:spacing w:after="120"/>
        <w:jc w:val="both"/>
      </w:pPr>
      <w:r>
        <w:rPr>
          <w:rFonts w:ascii="Arial" w:cs="Arial" w:eastAsia="Arial" w:hAnsi="Arial"/>
          <w:sz w:val="24"/>
          <w:szCs w:val="24"/>
        </w:rPr>
        <w:t xml:space="preserve">Тактические шаги денежно-кредитной политики в 2021 году будут выстраиваться с учетом ситуации с ликвидностью в банковской системе, перспектив развития внутреннего денежного и валютного рынков, а также в зависимости от динамики основных макроэкономических показателей.</w:t>
      </w:r>
    </w:p>
    <w:p>
      <w:pPr>
        <w:spacing w:after="120"/>
        <w:jc w:val="both"/>
      </w:pPr>
      <w:r>
        <w:rPr>
          <w:rFonts w:ascii="Arial" w:cs="Arial" w:eastAsia="Arial" w:hAnsi="Arial"/>
          <w:sz w:val="24"/>
          <w:szCs w:val="24"/>
        </w:rPr>
        <w:t xml:space="preserve">В условиях сохранения избыточной ликвидности в банковской системе Национальный банк продолжит проведение стерилизационных операций. Основным инструментом управления ликвидностью в системе будут являться операции на открытом рынке, проводимые на аукционной основе.</w:t>
      </w:r>
    </w:p>
    <w:p>
      <w:pPr>
        <w:spacing w:after="120"/>
        <w:jc w:val="both"/>
      </w:pPr>
      <w:r>
        <w:rPr>
          <w:rFonts w:ascii="Arial" w:cs="Arial" w:eastAsia="Arial" w:hAnsi="Arial"/>
          <w:sz w:val="24"/>
          <w:szCs w:val="24"/>
        </w:rPr>
        <w:t xml:space="preserve">При необходимости будет рассмотрена возможность предоставления коммерческим банкам кредитных ресурсов в национальной валюте для поддержания ликвидности банков, в том числе для дальнейшего кредитования банками экономики с учетом потребностей банковской системы.</w:t>
      </w:r>
    </w:p>
    <w:p>
      <w:pPr>
        <w:spacing w:after="120"/>
        <w:jc w:val="both"/>
      </w:pPr>
      <w:r>
        <w:rPr>
          <w:rFonts w:ascii="Arial" w:cs="Arial" w:eastAsia="Arial" w:hAnsi="Arial"/>
          <w:sz w:val="24"/>
          <w:szCs w:val="24"/>
        </w:rPr>
        <w:t xml:space="preserve">Денежно-кредитная политика, являясь частью общей макроэкономической политики государства, в совокупности с координированными и согласованными мерами налогово-бюджетной политики способствует обеспечению устойчивого экономического роста и стабильности финансовой системы. В связи с этим особое внимание будет уделено согласованию и координации мер денежно-кредитной и бюджетно-налоговой политик в рамках действующего Межведомственного координационного совета Министерства экономики и финансов Кыргызской Республики и Национального банка.</w:t>
      </w:r>
    </w:p>
    <w:p>
      <w:pPr>
        <w:spacing w:after="120"/>
        <w:jc w:val="both"/>
      </w:pPr>
      <w:r>
        <w:rPr>
          <w:rFonts w:ascii="Arial" w:cs="Arial" w:eastAsia="Arial" w:hAnsi="Arial"/>
          <w:sz w:val="24"/>
          <w:szCs w:val="24"/>
        </w:rPr>
        <w:t xml:space="preserve">Важным условием эффективного влияния денежно-кредитной политики на экономику является плавающий валютный курс. В этой связи Национальный банк следует принятому Кыргызской Республикой режиму плавающего обменного курса, который формируется через рыночные механизмы на основе спроса и предложения.</w:t>
      </w:r>
    </w:p>
    <w:p>
      <w:pPr>
        <w:spacing w:after="120"/>
        <w:jc w:val="both"/>
      </w:pPr>
      <w:r>
        <w:rPr>
          <w:rFonts w:ascii="Arial" w:cs="Arial" w:eastAsia="Arial" w:hAnsi="Arial"/>
          <w:sz w:val="24"/>
          <w:szCs w:val="24"/>
        </w:rPr>
        <w:t xml:space="preserve">При данном режиме Национальный банк не является жестким регулятором внутреннего валютного рынка и не определяет тенденции колебаний курсов валют, а преследует исключительно лишь цель смягчения резких колебаний обменного курса.</w:t>
      </w:r>
    </w:p>
    <w:p>
      <w:pPr>
        <w:spacing w:after="120"/>
        <w:jc w:val="both"/>
      </w:pPr>
      <w:r>
        <w:rPr>
          <w:rFonts w:ascii="Arial" w:cs="Arial" w:eastAsia="Arial" w:hAnsi="Arial"/>
          <w:sz w:val="24"/>
          <w:szCs w:val="24"/>
        </w:rPr>
        <w:t xml:space="preserve">В 2021 году планируется разработка основных направлений развития банковского и микрофинансового секторов на 2022-2025 годы, а также совместно с банковским сектором и сектором микрофинансирования продолжится реализация основных направлений развития указанных секторов и платежных систем.</w:t>
      </w:r>
    </w:p>
    <w:p>
      <w:pPr>
        <w:spacing w:after="120"/>
        <w:jc w:val="both"/>
      </w:pPr>
      <w:r>
        <w:rPr>
          <w:rFonts w:ascii="Arial" w:cs="Arial" w:eastAsia="Arial" w:hAnsi="Arial"/>
          <w:sz w:val="24"/>
          <w:szCs w:val="24"/>
        </w:rPr>
        <w:t xml:space="preserve">Особое внимание будет уделено анализу качества кредитов, реструктуризированных в связи со сложившейся эпидемиологической ситуацией в стране, вызванной пандемией коронавирусной инфекции COVID-19. В рамках риск-ориентированного надзора будет делаться упор на дистанционный надзор в случае ухудшения эпидемиологической ситуации в стране. Также будет продолжена работа по усилению систем управления рисками в банках в целях нивелирования рисков, связанных с банковской деятельностью, и обеспечения финансовой стабильности банковской системы.</w:t>
      </w:r>
    </w:p>
    <w:p>
      <w:pPr>
        <w:spacing w:after="120"/>
        <w:jc w:val="both"/>
      </w:pPr>
      <w:r>
        <w:rPr>
          <w:rFonts w:ascii="Arial" w:cs="Arial" w:eastAsia="Arial" w:hAnsi="Arial"/>
          <w:sz w:val="24"/>
          <w:szCs w:val="24"/>
        </w:rPr>
        <w:t xml:space="preserve">В целях оказания поддержки субъектам предпринимательской деятельности и содействия их дальнейшему развитию путем увеличения доступа к финансовым ресурсам в условиях необходимости смягчения негативных последствий пандемии COVID-19 будет продолжена работа с дочерними и ассоциированными организациями Национального банка.</w:t>
      </w:r>
    </w:p>
    <w:p>
      <w:pPr>
        <w:spacing w:after="120"/>
        <w:jc w:val="both"/>
      </w:pPr>
      <w:r>
        <w:rPr>
          <w:rFonts w:ascii="Arial" w:cs="Arial" w:eastAsia="Arial" w:hAnsi="Arial"/>
          <w:sz w:val="24"/>
          <w:szCs w:val="24"/>
        </w:rPr>
        <w:t xml:space="preserve">Будет оказываться дальнейшее содействие в расширении сферы применения безналичных платежей, цифровизации банковских услуг и развитии цифровых платежных технологий и инструментов в стране, во внедрении инновационных банковских и платежных операций и продуктов, в том числе посредством создания специальных регулятивных режимов. Продолжится выработка подходов к регулированию цифровых валют/активов;</w:t>
      </w:r>
    </w:p>
    <w:p>
      <w:pPr>
        <w:spacing w:after="120"/>
        <w:jc w:val="both"/>
      </w:pPr>
      <w:r>
        <w:rPr>
          <w:rFonts w:ascii="Arial" w:cs="Arial" w:eastAsia="Arial" w:hAnsi="Arial"/>
          <w:sz w:val="24"/>
          <w:szCs w:val="24"/>
        </w:rPr>
        <w:t xml:space="preserve">3) эффективная социальная политика.</w:t>
      </w:r>
    </w:p>
    <w:p>
      <w:pPr>
        <w:spacing w:after="120"/>
        <w:jc w:val="both"/>
      </w:pPr>
      <w:r>
        <w:rPr>
          <w:rFonts w:ascii="Arial" w:cs="Arial" w:eastAsia="Arial" w:hAnsi="Arial"/>
          <w:sz w:val="24"/>
          <w:szCs w:val="24"/>
        </w:rPr>
        <w:t xml:space="preserve">Ключевым инструментом создания сильного общества является эффективная социальная политика. Политика социального развития будет направлена на выполнение в полном объеме гарантированных социальных обязательств государства, повышение уровня жизни и улучшение положения социально незащищенных категорий граждан, с учетом реальных возможностей государства. Будет продолжена работа по обеспечению финансовой устойчивости пенсионной системы, повышению уровня жизни пенсионеров. Для усиления активных мер содействия занятости населения, снижения уровня безработицы и дисбаланса спроса и предложения на рынке труда будет разработана Программа содействия занятости населения Кыргызской Республики на 2021-2025 годы. Будут предприняты меры, направленные на защиту прав и улучшение качества жизни пожилых людей, развитие и расширение рынка социальных услуг путем внедрения новых механизмов. Будут приняты меры по созданию условий для проживания в семейном окружении детей, находящихся в трудной жизненной ситуации, предотвращению жесткого обращения и насилия в отношении детей, оказанию адресной и своевременной помощи семьям с детьми, стимулированию экономической активности трудоспособного населения и оказанию содействия в выходе из трудной жизненной ситуации.</w:t>
      </w:r>
    </w:p>
    <w:p>
      <w:pPr>
        <w:spacing w:after="120"/>
        <w:jc w:val="both"/>
      </w:pPr>
      <w:r>
        <w:rPr>
          <w:rFonts w:ascii="Arial" w:cs="Arial" w:eastAsia="Arial" w:hAnsi="Arial"/>
          <w:sz w:val="24"/>
          <w:szCs w:val="24"/>
        </w:rPr>
        <w:t xml:space="preserve">Будет проводиться последовательная работа по развитию человеческого капитала. Предстоит реформирование сферы образования, где одним из главных задач является сокращение разрыва в качестве образования между различными социальными группами и регионами. На данном этапе развития требуется новая политика по переобучению и постоянному совершенствованию навыков работников.</w:t>
      </w:r>
    </w:p>
    <w:p>
      <w:pPr>
        <w:spacing w:after="120"/>
        <w:jc w:val="both"/>
      </w:pPr>
      <w:r>
        <w:rPr>
          <w:rFonts w:ascii="Arial" w:cs="Arial" w:eastAsia="Arial" w:hAnsi="Arial"/>
          <w:sz w:val="24"/>
          <w:szCs w:val="24"/>
        </w:rPr>
        <w:t xml:space="preserve">Будет продолжена работа по повышению квалификации государственных и муниципальных служащих цифровым навыкам и кибербезопасности, оказанию услуг в условиях цифровой экономики, внедрению инновационных образовательных программ для школьного предмета "информатика" и высшего профессионального образования по всем ИТ-направлениям, внедрению системы электронного документооборота и др.</w:t>
      </w:r>
    </w:p>
    <w:p>
      <w:pPr>
        <w:spacing w:after="120"/>
        <w:jc w:val="both"/>
      </w:pPr>
      <w:r>
        <w:rPr>
          <w:rFonts w:ascii="Arial" w:cs="Arial" w:eastAsia="Arial" w:hAnsi="Arial"/>
          <w:sz w:val="24"/>
          <w:szCs w:val="24"/>
        </w:rPr>
        <w:t xml:space="preserve">Особое значение будет иметь модернизация отечественного здравоохранения. В условиях пандемии актуальность этой проблемы стала очевидной. Система здравоохранения должна ориентироваться на пациентов, ставить во главу угла их интересы, здоровье и жизнь. Переход к такой модели возможен за счет персонификации, внедрения цифровых инструментов, расширения доступа людей к квалифицированной врачебной помощи. Программа дальнейшего развития здравоохранения Кыргызской Республики будет направлена на охрану здоровья населения, профилактику заболеваний, в том числе острозаразных вирусных недугов, усиление службы общественного здравоохранения, изменение системы планирования, организации, предоставления, оценки качества и безопасности, эффективности услуг здравоохранения на основе потребности населения и существующих вызовов;</w:t>
      </w:r>
    </w:p>
    <w:p>
      <w:pPr>
        <w:spacing w:after="120"/>
        <w:jc w:val="both"/>
      </w:pPr>
      <w:r>
        <w:rPr>
          <w:rFonts w:ascii="Arial" w:cs="Arial" w:eastAsia="Arial" w:hAnsi="Arial"/>
          <w:sz w:val="24"/>
          <w:szCs w:val="24"/>
        </w:rPr>
        <w:t xml:space="preserve">4) развитие регионов посредством улучшения инфраструктуры (дороги, соединяющие регионы, города, районы и села между собой; доступ населения к чистой и безопасной питьевой воде и др.), связывающих в единое экономическое пространство, внедрения кластерного развития регионов на основе специализации.</w:t>
      </w:r>
    </w:p>
    <w:p>
      <w:pPr>
        <w:spacing w:after="120"/>
        <w:jc w:val="both"/>
      </w:pPr>
      <w:r>
        <w:rPr>
          <w:rFonts w:ascii="Arial" w:cs="Arial" w:eastAsia="Arial" w:hAnsi="Arial"/>
          <w:sz w:val="24"/>
          <w:szCs w:val="24"/>
        </w:rPr>
        <w:t xml:space="preserve">В 2021 году будет продолжена работа по сбалансированному развитию регионов, созданию благоприятной бизнес-среды в рамках реализации </w:t>
      </w:r>
      <w:hyperlink w:history="1" r:id="rIdmj0cuinlroxm2xtimyoel">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региональной политики Кыргызской Республики на период 2018-2022 годов (</w:t>
      </w:r>
      <w:hyperlink w:history="1" r:id="rIdbxqntagdezxgqpd0ou_x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марта 2017 года № 194).</w:t>
      </w:r>
    </w:p>
    <w:p>
      <w:pPr>
        <w:spacing w:after="120"/>
        <w:jc w:val="both"/>
      </w:pPr>
      <w:r>
        <w:rPr>
          <w:rFonts w:ascii="Arial" w:cs="Arial" w:eastAsia="Arial" w:hAnsi="Arial"/>
          <w:sz w:val="24"/>
          <w:szCs w:val="24"/>
        </w:rPr>
        <w:t xml:space="preserve">Будет проводиться работа по разработке в каждой области программы кластерного экономического развития на основе специализации в партнерстве с бизнес-структурами, отраслевыми государственными органами, а также разграничению функций и полномочий государственных органов и органов местного самоуправления. Будет продолжена работа по укреплению и улучшению финансово-экономических основ развития органов местного самоуправления, внедрению системы государственного территориального управления с учетом перехода от отраслевого управления к региональному.</w:t>
      </w:r>
    </w:p>
    <w:p>
      <w:pPr>
        <w:spacing w:after="120"/>
        <w:jc w:val="both"/>
      </w:pPr>
      <w:r>
        <w:rPr>
          <w:rFonts w:ascii="Arial" w:cs="Arial" w:eastAsia="Arial" w:hAnsi="Arial"/>
          <w:sz w:val="24"/>
          <w:szCs w:val="24"/>
        </w:rPr>
        <w:t xml:space="preserve">В целях развития инфраструктуры будет активизирована работа по привлечению ресурсов для полноценной реализации программ развития систем питьевого водоснабжения и водоотведения населенных пунктов, ирригации, на проекты по реконструкции и ремонту автомобильных дорог местного значения, с особым акцентом на приграничные территории;</w:t>
      </w:r>
    </w:p>
    <w:p>
      <w:pPr>
        <w:spacing w:after="120"/>
        <w:jc w:val="both"/>
      </w:pPr>
      <w:r>
        <w:rPr>
          <w:rFonts w:ascii="Arial" w:cs="Arial" w:eastAsia="Arial" w:hAnsi="Arial"/>
          <w:sz w:val="24"/>
          <w:szCs w:val="24"/>
        </w:rPr>
        <w:t xml:space="preserve">5) расширение выхода на внешние рынки, активное развитие торгово-экономических отношений с интеграционными объединениями и третьими странами.</w:t>
      </w:r>
    </w:p>
    <w:p>
      <w:pPr>
        <w:spacing w:after="120"/>
        <w:jc w:val="both"/>
      </w:pPr>
      <w:r>
        <w:rPr>
          <w:rFonts w:ascii="Arial" w:cs="Arial" w:eastAsia="Arial" w:hAnsi="Arial"/>
          <w:sz w:val="24"/>
          <w:szCs w:val="24"/>
        </w:rPr>
        <w:t xml:space="preserve">Будет продолжена работа по интеграции в Евразийский экономический союз. Для страны в условиях интеграции с ЕАЭС крайне важным направлением экономической политики является поиск новых партнеров для торгово-экономического сотрудничества.</w:t>
      </w:r>
    </w:p>
    <w:p>
      <w:pPr>
        <w:spacing w:after="120"/>
        <w:jc w:val="both"/>
      </w:pPr>
      <w:r>
        <w:rPr>
          <w:rFonts w:ascii="Arial" w:cs="Arial" w:eastAsia="Arial" w:hAnsi="Arial"/>
          <w:sz w:val="24"/>
          <w:szCs w:val="24"/>
        </w:rPr>
        <w:t xml:space="preserve">Основными направлениями деятельности будут: дальнейшее наращивание экспорта; устранение технических и иных барьеров во взаимной торговле на евразийском пространстве; продолжение работы по заключению международных договоров Союза о зоне свободной торговли с третьими сторонами; поэтапное движение к формированию общих рынков, таких как электроэнергетический и финансовые рынки, единый рынок услуг. Перспективным направлением остается продвижение цифровой повестки ЕАЭС.</w:t>
      </w:r>
    </w:p>
    <w:p>
      <w:pPr>
        <w:spacing w:after="120"/>
        <w:jc w:val="both"/>
      </w:pPr>
      <w:r>
        <w:rPr>
          <w:rFonts w:ascii="Arial" w:cs="Arial" w:eastAsia="Arial" w:hAnsi="Arial"/>
          <w:sz w:val="24"/>
          <w:szCs w:val="24"/>
        </w:rPr>
        <w:t xml:space="preserve">Особое внимание будет уделено мерам по созданию совместных предприятий в промышленности, агропромышленном секторе и сфере услуг, а также реализации совместных инфраструктурных проектов, которые обеспечат производственную связанность и эффективное экономическое взаимодействие хозяйствующих субъектов стран ЕАЭС, и увеличению объемов взаимной торговли, устранению барьеров на рынках государств. Для расширения международной торговли по торгово-транспортной оси Европа-Азия необходимо активизировать работу по развитию взаимовыгодных совместных проектов, обеспечивающих увязку с инициативой "Один пояс - один путь".</w:t>
      </w:r>
    </w:p>
    <w:p>
      <w:pPr>
        <w:spacing w:after="120"/>
        <w:jc w:val="both"/>
      </w:pPr>
      <w:r>
        <w:rPr>
          <w:rFonts w:ascii="Arial" w:cs="Arial" w:eastAsia="Arial" w:hAnsi="Arial"/>
          <w:sz w:val="24"/>
          <w:szCs w:val="24"/>
        </w:rPr>
        <w:t xml:space="preserve">Таким образом, в 2021 году совместная экономическая политика Правительства и Национального банка позволит обеспечить макроэкономическую стабильность в стране. Для этого усилия будут направлены на выполнение всех мер/мероприятий, заложенных в программных документах, для обеспечения восстановления утраченных объемов в период пандемии и создания необходимых условий для экономического роста. Среднее значение инфляции будет удерживаться в пределах однозначных показателей в среднесрочном периоде.</w:t>
      </w:r>
    </w:p>
    <w:p>
      <w:pPr>
        <w:spacing w:after="120"/>
        <w:jc w:val="both"/>
      </w:pPr>
      <w:r>
        <w:rPr>
          <w:rFonts w:ascii="Arial" w:cs="Arial" w:eastAsia="Arial" w:hAnsi="Arial"/>
          <w:sz w:val="24"/>
          <w:szCs w:val="24"/>
        </w:rPr>
        <w:t xml:space="preserve">Для эффективной реализации заявленных мер Правительством и Национальным банком будет проводиться постоянный мониторинг экономической ситуации в стране и тенденций развития мировой экономики. В случае появления дополнительных дисбалансов/рисков в мировой экономике и во внешнеэкономической среде, которые могут негативно отразиться на отечественной экономике, будут внесены соответствующие корректировки в принятую экономическую политику Кыргызской Республики на 2021 год и приниматься необходимые меры.</w:t>
      </w:r>
    </w:p>
    <w:p>
      <w:pPr>
        <w:spacing w:after="120"/>
        <w:jc w:val="both"/>
      </w:pPr>
      <w:r>
        <w:rPr>
          <w:rFonts w:ascii="Arial" w:cs="Arial" w:eastAsia="Arial" w:hAnsi="Arial"/>
          <w:sz w:val="24"/>
          <w:szCs w:val="24"/>
        </w:rPr>
        <w:t xml:space="preserve">В свою очередь, Правительство и Национальный банк рассчитывают на поддержку со стороны законодательной власти, всего делового сообщества в реализации основных направлений, предусмотренных в Совместном заявлении и программных документах.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rr-agqfyijeyjs7di0a">
      <w:r>
        <w:rPr>
          <w:rFonts w:ascii="Arial" w:cs="Arial" w:eastAsia="Arial" w:hAnsi="Arial"/>
          <w:color w:val="132D3F"/>
          <w:sz w:val="16"/>
          <w:szCs w:val="16"/>
          <w:u w:val="single"/>
        </w:rPr>
        <w:t xml:space="preserve">dalil.kg/document/158253</w:t>
      </w:r>
    </w:hyperlink>
  </w:p>
  <w:p>
    <w:pPr>
      <w:spacing w:after="0" w:before="40"/>
      <w:jc w:val="center"/>
    </w:pPr>
    <w:hyperlink w:history="1" r:id="rIddazxt8ywfyk2zhgwyk_u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d-ykpwvq2hjbccfby86k" Type="http://schemas.openxmlformats.org/officeDocument/2006/relationships/hyperlink" Target="https://dalil.kg/document/203685#st_10" TargetMode="External"/><Relationship Id="rIdvok7p86rzoa7bb2mwj65_" Type="http://schemas.openxmlformats.org/officeDocument/2006/relationships/hyperlink" Target="https://dalil.kg/document/203685#st_17" TargetMode="External"/><Relationship Id="rIdoeqxgopjqjuhd_xzda6-u" Type="http://schemas.openxmlformats.org/officeDocument/2006/relationships/hyperlink" Target="https://dalil.kg/document/111486#st_17" TargetMode="External"/><Relationship Id="rIdakrr6ifqcgsbbxlp8gigd" Type="http://schemas.openxmlformats.org/officeDocument/2006/relationships/hyperlink" Target="https://dalil.kg/document/111486#st_46" TargetMode="External"/><Relationship Id="rIdhjsuxi9ogjwfisdtthvyk" Type="http://schemas.openxmlformats.org/officeDocument/2006/relationships/hyperlink" Target="https://dalil.kg/document/158253#pr" TargetMode="External"/><Relationship Id="rIdzemwkuexju5t5qsk6lq44" Type="http://schemas.openxmlformats.org/officeDocument/2006/relationships/hyperlink" Target="https://dalil.kg/document/98725" TargetMode="External"/><Relationship Id="rIdse7qepv0n8tcg0zhj1sk6" Type="http://schemas.openxmlformats.org/officeDocument/2006/relationships/hyperlink" Target="https://dalil.kg/document/98725" TargetMode="External"/><Relationship Id="rIdzcictctueahqgulfsv6iw" Type="http://schemas.openxmlformats.org/officeDocument/2006/relationships/hyperlink" Target="https://dalil.kg/document/157906" TargetMode="External"/><Relationship Id="rIdqiqvv-5jboyb6siqi6xrv" Type="http://schemas.openxmlformats.org/officeDocument/2006/relationships/hyperlink" Target="https://dalil.kg/document/157906" TargetMode="External"/><Relationship Id="rIdqhrh17qwje_ksvl8wqlpq" Type="http://schemas.openxmlformats.org/officeDocument/2006/relationships/hyperlink" Target="https://dalil.kg/document/157190" TargetMode="External"/><Relationship Id="rIdarqvzwsmg35aajty06dyc" Type="http://schemas.openxmlformats.org/officeDocument/2006/relationships/hyperlink" Target="https://dalil.kg/document/157189" TargetMode="External"/><Relationship Id="rIdzuuxhuhga1xpxzh4wrykp" Type="http://schemas.openxmlformats.org/officeDocument/2006/relationships/hyperlink" Target="https://dalil.kg/document/99895" TargetMode="External"/><Relationship Id="rIdi3knuyov2ggymwy-uvzlc" Type="http://schemas.openxmlformats.org/officeDocument/2006/relationships/hyperlink" Target="https://dalil.kg/document/99894" TargetMode="External"/><Relationship Id="rIdfx2zxxhau_weq0-spjhqo" Type="http://schemas.openxmlformats.org/officeDocument/2006/relationships/hyperlink" Target="https://dalil.kg/document/12808" TargetMode="External"/><Relationship Id="rIdd1xkciyvkgd05i_ye3lcf" Type="http://schemas.openxmlformats.org/officeDocument/2006/relationships/hyperlink" Target="https://dalil.kg/document/12807" TargetMode="External"/><Relationship Id="rIdmj0cuinlroxm2xtimyoel" Type="http://schemas.openxmlformats.org/officeDocument/2006/relationships/hyperlink" Target="https://dalil.kg/document/99907" TargetMode="External"/><Relationship Id="rIdbxqntagdezxgqpd0ou_xj" Type="http://schemas.openxmlformats.org/officeDocument/2006/relationships/hyperlink" Target="https://dalil.kg/document/99897"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rr-agqfyijeyjs7di0a" Type="http://schemas.openxmlformats.org/officeDocument/2006/relationships/hyperlink" Target="https://dalil.kg/document/158253" TargetMode="External"/><Relationship Id="rIddazxt8ywfyk2zhgwyk_u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2026-09-29T18:38:29.829Z</dcterms:created>
  <dcterms:modified xsi:type="dcterms:W3CDTF">2026-09-29T18:38:29.829Z</dcterms:modified>
</cp:coreProperties>
</file>

<file path=docProps/custom.xml><?xml version="1.0" encoding="utf-8"?>
<Properties xmlns="http://schemas.openxmlformats.org/officeDocument/2006/custom-properties" xmlns:vt="http://schemas.openxmlformats.org/officeDocument/2006/docPropsVTypes"/>
</file>