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scnxxsnkz1eddtzcng_uc">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27 ноября 2025 года № 760</w:t>
      </w:r>
    </w:p>
    <w:p>
      <w:pPr>
        <w:spacing w:after="360"/>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16 июня 2021 года № 31</w:t>
      </w:r>
    </w:p>
    <w:p>
      <w:pPr>
        <w:spacing w:after="240" w:before="200"/>
        <w:jc w:val="center"/>
      </w:pPr>
      <w:r>
        <w:rPr>
          <w:rFonts w:ascii="Arial" w:cs="Arial" w:eastAsia="Arial" w:hAnsi="Arial"/>
          <w:b/>
          <w:bCs/>
          <w:sz w:val="28"/>
          <w:szCs w:val="28"/>
        </w:rPr>
        <w:t xml:space="preserve">О внесении изменений в некоторые решения </w:t>
      </w:r>
    </w:p>
    <w:p>
      <w:pPr>
        <w:spacing w:after="240" w:before="200"/>
        <w:jc w:val="center"/>
      </w:pPr>
      <w:r>
        <w:rPr>
          <w:rFonts w:ascii="Arial" w:cs="Arial" w:eastAsia="Arial" w:hAnsi="Arial"/>
          <w:b/>
          <w:bCs/>
          <w:sz w:val="28"/>
          <w:szCs w:val="28"/>
        </w:rPr>
        <w:t xml:space="preserve">Правительства Кыргызской Республики по вопросам </w:t>
      </w:r>
    </w:p>
    <w:p>
      <w:pPr>
        <w:spacing w:after="240" w:before="200"/>
        <w:jc w:val="center"/>
      </w:pPr>
      <w:r>
        <w:rPr>
          <w:rFonts w:ascii="Arial" w:cs="Arial" w:eastAsia="Arial" w:hAnsi="Arial"/>
          <w:b/>
          <w:bCs/>
          <w:sz w:val="28"/>
          <w:szCs w:val="28"/>
        </w:rPr>
        <w:t xml:space="preserve">регистрации транспортных средств и выдачи водительских </w:t>
      </w:r>
    </w:p>
    <w:p>
      <w:pPr>
        <w:spacing w:after="240" w:before="200"/>
        <w:jc w:val="center"/>
      </w:pPr>
      <w:r>
        <w:rPr>
          <w:rFonts w:ascii="Arial" w:cs="Arial" w:eastAsia="Arial" w:hAnsi="Arial"/>
          <w:b/>
          <w:bCs/>
          <w:sz w:val="28"/>
          <w:szCs w:val="28"/>
        </w:rPr>
        <w:t xml:space="preserve">удостоверений</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защиты прав и законных интересов собственников автотранспортных средств, в соответствии со статьей 222 Гражданского </w:t>
      </w:r>
      <w:hyperlink w:history="1" r:id="rIdolf99frgdrx14lvyxohm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решением Коллегии Евразийской экономической комиссии от 22 сентября 2015 года № 122, статьями </w:t>
      </w:r>
      <w:hyperlink w:history="1" r:id="rIdvirnmletjduhunltecjfx">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b4lvu4gwkutihxkywkc1l">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y77gr5iymtpwwwxieb-i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транспортных средств, установок и оборудования" от 23 июня 2017 года № 407 следующие изменения:</w:t>
      </w:r>
    </w:p>
    <w:p>
      <w:pPr>
        <w:spacing w:after="120"/>
        <w:ind w:firstLine="397"/>
        <w:jc w:val="both"/>
      </w:pPr>
      <w:r>
        <w:rPr>
          <w:rFonts w:ascii="Arial" w:cs="Arial" w:eastAsia="Arial" w:hAnsi="Arial"/>
          <w:sz w:val="24"/>
          <w:szCs w:val="24"/>
        </w:rPr>
        <w:t xml:space="preserve">1) в </w:t>
      </w:r>
      <w:hyperlink w:history="1" r:id="rIdl8ndgeukpcehwric4yvjp">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государственной регистрации, перерегистрации транспортных средств, установок и оборудования, а также прав собственности на них, утвержденных вышеуказанным </w:t>
      </w:r>
      <w:hyperlink w:history="1" r:id="rIdnrfnt8ns6fniim6mtyti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пункт 2 дополнить абзацем девятым следующего содержания:</w:t>
      </w:r>
    </w:p>
    <w:p>
      <w:pPr>
        <w:spacing w:after="120"/>
        <w:ind w:firstLine="397"/>
        <w:jc w:val="both"/>
      </w:pPr>
      <w:r>
        <w:rPr>
          <w:rFonts w:ascii="Arial" w:cs="Arial" w:eastAsia="Arial" w:hAnsi="Arial"/>
          <w:sz w:val="24"/>
          <w:szCs w:val="24"/>
        </w:rPr>
        <w:t xml:space="preserve">"временное прекращение государственной регистрации транспортного средства - внесение в электронную базу данных зарегистрированных транспортных средств соответствующей записи о временном прекращении допуска транспортного средства к участию в дорожном движении;";</w:t>
      </w:r>
    </w:p>
    <w:p>
      <w:pPr>
        <w:spacing w:after="120"/>
        <w:ind w:firstLine="397"/>
        <w:jc w:val="both"/>
      </w:pPr>
      <w:r>
        <w:rPr>
          <w:rFonts w:ascii="Arial" w:cs="Arial" w:eastAsia="Arial" w:hAnsi="Arial"/>
          <w:sz w:val="24"/>
          <w:szCs w:val="24"/>
        </w:rPr>
        <w:t xml:space="preserve">- абзац девятый пункта 10 изложить в следующей редакции:</w:t>
      </w:r>
    </w:p>
    <w:p>
      <w:pPr>
        <w:spacing w:after="120"/>
        <w:ind w:firstLine="397"/>
        <w:jc w:val="both"/>
      </w:pPr>
      <w:r>
        <w:rPr>
          <w:rFonts w:ascii="Arial" w:cs="Arial" w:eastAsia="Arial" w:hAnsi="Arial"/>
          <w:sz w:val="24"/>
          <w:szCs w:val="24"/>
        </w:rPr>
        <w:t xml:space="preserve">"- производит осмотр транспортного средства, установок и оборудования с фотофиксацией и внесением фотоизображения транспортного средства, самоходной технологической машины и трактора с разных сторон, а также составляет акт осмотра транспортного средства для включения в электронную базу данных, в случае необходимости выдает акт одиночного осмотра транспортного средства, установки и оборудования;";</w:t>
      </w:r>
    </w:p>
    <w:p>
      <w:pPr>
        <w:spacing w:after="120"/>
        <w:ind w:firstLine="397"/>
        <w:jc w:val="both"/>
      </w:pPr>
      <w:r>
        <w:rPr>
          <w:rFonts w:ascii="Arial" w:cs="Arial" w:eastAsia="Arial" w:hAnsi="Arial"/>
          <w:sz w:val="24"/>
          <w:szCs w:val="24"/>
        </w:rPr>
        <w:t xml:space="preserve">- дополнить пунктом 21</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Перед совершением действий по регистрации, перерегистрации, снятия с учета, временному прекращению государственной регистрации транспортного средства лица, причастные к регистрации, перерегистрации, проходят идентификацию по графическому изображению лица, на соответствие фамилии, имени, отчества представленным документам, в порядке, определяемом уполномоченным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spacing w:after="120"/>
        <w:ind w:firstLine="397"/>
        <w:jc w:val="both"/>
      </w:pPr>
      <w:r>
        <w:rPr>
          <w:rFonts w:ascii="Arial" w:cs="Arial" w:eastAsia="Arial" w:hAnsi="Arial"/>
          <w:sz w:val="24"/>
          <w:szCs w:val="24"/>
        </w:rPr>
        <w:t xml:space="preserve">В случае подачи заявления доверенным лицом (при наличии действующей доверенности с правом отчуждения) от имени собственника движимого имущества, идентификация доверенного лица (лиц) осуществляется также на основе графического изображения лица.";</w:t>
      </w:r>
    </w:p>
    <w:p>
      <w:pPr>
        <w:spacing w:after="120"/>
        <w:ind w:firstLine="397"/>
        <w:jc w:val="both"/>
      </w:pPr>
      <w:r>
        <w:rPr>
          <w:rFonts w:ascii="Arial" w:cs="Arial" w:eastAsia="Arial" w:hAnsi="Arial"/>
          <w:sz w:val="24"/>
          <w:szCs w:val="24"/>
        </w:rPr>
        <w:t xml:space="preserve">- в абзаце восьмом пункта 22 слова "(представляется только юридическим лицом или зарегистрированным физическим лицом в качестве индивидуального предпринимателя)" исключить;</w:t>
      </w:r>
    </w:p>
    <w:p>
      <w:pPr>
        <w:spacing w:after="120"/>
        <w:ind w:firstLine="397"/>
        <w:jc w:val="both"/>
      </w:pPr>
      <w:r>
        <w:rPr>
          <w:rFonts w:ascii="Arial" w:cs="Arial" w:eastAsia="Arial" w:hAnsi="Arial"/>
          <w:sz w:val="24"/>
          <w:szCs w:val="24"/>
        </w:rPr>
        <w:t xml:space="preserve">- абзац седьмой пункта 52 признать утратившим силу;</w:t>
      </w:r>
    </w:p>
    <w:p>
      <w:pPr>
        <w:spacing w:after="120"/>
        <w:ind w:firstLine="397"/>
        <w:jc w:val="both"/>
      </w:pPr>
      <w:r>
        <w:rPr>
          <w:rFonts w:ascii="Arial" w:cs="Arial" w:eastAsia="Arial" w:hAnsi="Arial"/>
          <w:sz w:val="24"/>
          <w:szCs w:val="24"/>
        </w:rPr>
        <w:t xml:space="preserve">- дополнить главой 11 и пунктами 84-88 следующего содержания:</w:t>
      </w:r>
    </w:p>
    <w:p>
      <w:pPr>
        <w:spacing w:after="120"/>
        <w:ind w:firstLine="397"/>
        <w:jc w:val="center"/>
      </w:pPr>
      <w:r>
        <w:rPr>
          <w:rFonts w:ascii="Arial" w:cs="Arial" w:eastAsia="Arial" w:hAnsi="Arial"/>
          <w:sz w:val="24"/>
          <w:szCs w:val="24"/>
        </w:rPr>
        <w:t xml:space="preserve">"11. Порядок временного прекращения государственной
 регистрации транспортного средства</w:t>
      </w:r>
    </w:p>
    <w:p>
      <w:pPr>
        <w:spacing w:after="120"/>
        <w:ind w:firstLine="397"/>
        <w:jc w:val="both"/>
      </w:pPr>
      <w:r>
        <w:rPr>
          <w:rFonts w:ascii="Arial" w:cs="Arial" w:eastAsia="Arial" w:hAnsi="Arial"/>
          <w:sz w:val="24"/>
          <w:szCs w:val="24"/>
        </w:rPr>
        <w:t xml:space="preserve">84. Собственник транспортного средства (физические и юридические лица) вправе обратиться в уполномоченный орган с заявлением о временном прекращении государственной регистрации транспортного средства, предъявив документ, удостоверяющий его личность (паспорт), а для юридических лиц - свидетельство о государственной регистрации юридического лица.</w:t>
      </w:r>
    </w:p>
    <w:p>
      <w:pPr>
        <w:spacing w:after="120"/>
        <w:ind w:firstLine="397"/>
        <w:jc w:val="both"/>
      </w:pPr>
      <w:r>
        <w:rPr>
          <w:rFonts w:ascii="Arial" w:cs="Arial" w:eastAsia="Arial" w:hAnsi="Arial"/>
          <w:sz w:val="24"/>
          <w:szCs w:val="24"/>
        </w:rPr>
        <w:t xml:space="preserve">85. На основании представленных документов уполномоченный орган вносит в электронную базу данных сведения о временном прекращении государственной регистрации транспортного средства, с выдачей справки собственнику транспортного средства, обратившемуся с заявлением (или лицу, действующему по доверенности), с указанием срока действия справки.</w:t>
      </w:r>
    </w:p>
    <w:p>
      <w:pPr>
        <w:spacing w:after="120"/>
        <w:ind w:firstLine="397"/>
        <w:jc w:val="both"/>
      </w:pPr>
      <w:r>
        <w:rPr>
          <w:rFonts w:ascii="Arial" w:cs="Arial" w:eastAsia="Arial" w:hAnsi="Arial"/>
          <w:sz w:val="24"/>
          <w:szCs w:val="24"/>
        </w:rPr>
        <w:t xml:space="preserve">86. Собственник транспортного средства (или лицо, действующее по доверенности) в установленные сроки имеет право возобновить государственную регистрацию транспортного средства на основании представленных документов, предусмотренных пунктом 24 настоящих Правил.</w:t>
      </w:r>
    </w:p>
    <w:p>
      <w:pPr>
        <w:spacing w:after="120"/>
        <w:ind w:firstLine="397"/>
        <w:jc w:val="both"/>
      </w:pPr>
      <w:r>
        <w:rPr>
          <w:rFonts w:ascii="Arial" w:cs="Arial" w:eastAsia="Arial" w:hAnsi="Arial"/>
          <w:sz w:val="24"/>
          <w:szCs w:val="24"/>
        </w:rPr>
        <w:t xml:space="preserve">87. По истечении трехлетнего срока с момента временного прекращения государственной регистрации транспортного средства, уполномоченным органом в электронную базу данных вносятся сведения о снятии с учета транспортного средства.</w:t>
      </w:r>
    </w:p>
    <w:p>
      <w:pPr>
        <w:spacing w:after="120"/>
        <w:ind w:firstLine="397"/>
        <w:jc w:val="both"/>
      </w:pPr>
      <w:r>
        <w:rPr>
          <w:rFonts w:ascii="Arial" w:cs="Arial" w:eastAsia="Arial" w:hAnsi="Arial"/>
          <w:sz w:val="24"/>
          <w:szCs w:val="24"/>
        </w:rPr>
        <w:t xml:space="preserve">88. Прекращение государственной регистрации транспортного средства производится также на основании вступившего в установленном порядке в законную силу решения суда.";</w:t>
      </w:r>
    </w:p>
    <w:p>
      <w:pPr>
        <w:spacing w:after="120"/>
        <w:ind w:firstLine="397"/>
        <w:jc w:val="both"/>
      </w:pPr>
      <w:r>
        <w:rPr>
          <w:rFonts w:ascii="Arial" w:cs="Arial" w:eastAsia="Arial" w:hAnsi="Arial"/>
          <w:sz w:val="24"/>
          <w:szCs w:val="24"/>
        </w:rPr>
        <w:t xml:space="preserve">2) в </w:t>
      </w:r>
      <w:hyperlink w:history="1" r:id="rIdee3d1iasljxxavxdvlsiq">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организации и содержание электронной базы данных зарегистрированных транспортных средств и водительского состава, утвержденном вышеуказанным </w:t>
      </w:r>
      <w:hyperlink w:history="1" r:id="rId6y-ndeb3r7n_nnxgzdxm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пункт 7.2 дополнить абзацами двадцать третьим - двадцать пятым следующего содержания:</w:t>
      </w:r>
    </w:p>
    <w:p>
      <w:pPr>
        <w:spacing w:after="120"/>
        <w:ind w:firstLine="397"/>
        <w:jc w:val="both"/>
      </w:pPr>
      <w:r>
        <w:rPr>
          <w:rFonts w:ascii="Arial" w:cs="Arial" w:eastAsia="Arial" w:hAnsi="Arial"/>
          <w:sz w:val="24"/>
          <w:szCs w:val="24"/>
        </w:rPr>
        <w:t xml:space="preserve">"- фотоизображения с четырех сторон и номера кузова/шасси/рамы;</w:t>
      </w:r>
    </w:p>
    <w:p>
      <w:pPr>
        <w:spacing w:after="120"/>
        <w:ind w:firstLine="397"/>
        <w:jc w:val="both"/>
      </w:pPr>
      <w:r>
        <w:rPr>
          <w:rFonts w:ascii="Arial" w:cs="Arial" w:eastAsia="Arial" w:hAnsi="Arial"/>
          <w:sz w:val="24"/>
          <w:szCs w:val="24"/>
        </w:rPr>
        <w:t xml:space="preserve">- коробка передач (АКПП, МКПП);</w:t>
      </w:r>
    </w:p>
    <w:p>
      <w:pPr>
        <w:spacing w:after="120"/>
        <w:ind w:firstLine="397"/>
        <w:jc w:val="both"/>
      </w:pPr>
      <w:r>
        <w:rPr>
          <w:rFonts w:ascii="Arial" w:cs="Arial" w:eastAsia="Arial" w:hAnsi="Arial"/>
          <w:sz w:val="24"/>
          <w:szCs w:val="24"/>
        </w:rPr>
        <w:t xml:space="preserve">- показание одометра (километраж).".</w:t>
      </w:r>
    </w:p>
    <w:p>
      <w:pPr>
        <w:spacing w:after="120"/>
        <w:ind w:firstLine="397"/>
        <w:jc w:val="both"/>
      </w:pPr>
      <w:r>
        <w:rPr>
          <w:rFonts w:ascii="Arial" w:cs="Arial" w:eastAsia="Arial" w:hAnsi="Arial"/>
          <w:sz w:val="24"/>
          <w:szCs w:val="24"/>
        </w:rPr>
        <w:t xml:space="preserve">2. Внести в </w:t>
      </w:r>
      <w:hyperlink w:history="1" r:id="rIdeqeyrqnbzi5lkpyleuwq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 следующее изменение:</w:t>
      </w:r>
    </w:p>
    <w:p>
      <w:pPr>
        <w:spacing w:after="120"/>
        <w:ind w:firstLine="397"/>
        <w:jc w:val="both"/>
      </w:pPr>
      <w:r>
        <w:rPr>
          <w:rFonts w:ascii="Arial" w:cs="Arial" w:eastAsia="Arial" w:hAnsi="Arial"/>
          <w:sz w:val="24"/>
          <w:szCs w:val="24"/>
        </w:rPr>
        <w:t xml:space="preserve">в </w:t>
      </w:r>
      <w:hyperlink w:history="1" r:id="rIdqgvo2t-cuii15mfmoqivc">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приема квалификационных экзаменов и выдачи водительских удостоверений, утвержденных вышеуказанным </w:t>
      </w:r>
      <w:hyperlink w:history="1" r:id="rIdi10npagz4notdjymafco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пункт 20 изложить в следующей редакции:</w:t>
      </w:r>
    </w:p>
    <w:p>
      <w:pPr>
        <w:spacing w:after="120"/>
        <w:ind w:firstLine="397"/>
        <w:jc w:val="both"/>
      </w:pPr>
      <w:r>
        <w:rPr>
          <w:rFonts w:ascii="Arial" w:cs="Arial" w:eastAsia="Arial" w:hAnsi="Arial"/>
          <w:sz w:val="24"/>
          <w:szCs w:val="24"/>
        </w:rPr>
        <w:t xml:space="preserve">"20. К первым квалификационным экзаменам допускается группа участников, явка которой составляет более 70 процентов от числа прошедших обучение.</w:t>
      </w:r>
    </w:p>
    <w:p>
      <w:pPr>
        <w:spacing w:after="120"/>
        <w:ind w:firstLine="397"/>
        <w:jc w:val="both"/>
      </w:pPr>
      <w:r>
        <w:rPr>
          <w:rFonts w:ascii="Arial" w:cs="Arial" w:eastAsia="Arial" w:hAnsi="Arial"/>
          <w:sz w:val="24"/>
          <w:szCs w:val="24"/>
        </w:rPr>
        <w:t xml:space="preserve">Кандидат, не сдавший теоретический экзамен, к практическому экзамену не допускается. Повторный теоретический или практический экзамен назначается не ранее чем через 10 дней со дня проведения предыдущего экзамена. При отрицательном результате сдаваемых экзаменов количество попыток сдачи квалификационных экзаменов не ограничено.</w:t>
      </w:r>
    </w:p>
    <w:p>
      <w:pPr>
        <w:spacing w:after="120"/>
        <w:ind w:firstLine="397"/>
        <w:jc w:val="both"/>
      </w:pPr>
      <w:r>
        <w:rPr>
          <w:rFonts w:ascii="Arial" w:cs="Arial" w:eastAsia="Arial" w:hAnsi="Arial"/>
          <w:sz w:val="24"/>
          <w:szCs w:val="24"/>
        </w:rPr>
        <w:t xml:space="preserve">Проведение теоретических экзаменов вне экзаменационных классов не допускается.".</w:t>
      </w:r>
    </w:p>
    <w:p>
      <w:pPr>
        <w:spacing w:after="120"/>
        <w:ind w:firstLine="39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lm7nmtyha1-jgnut1bez">
      <w:r>
        <w:rPr>
          <w:rFonts w:ascii="Arial" w:cs="Arial" w:eastAsia="Arial" w:hAnsi="Arial"/>
          <w:color w:val="132D3F"/>
          <w:sz w:val="16"/>
          <w:szCs w:val="16"/>
          <w:u w:val="single"/>
        </w:rPr>
        <w:t xml:space="preserve">dalil.kg/document/158295</w:t>
      </w:r>
    </w:hyperlink>
  </w:p>
  <w:p>
    <w:pPr>
      <w:spacing w:after="0" w:before="40"/>
      <w:jc w:val="center"/>
    </w:pPr>
    <w:hyperlink w:history="1" r:id="rIdh-iogscqa3yaxq5k_sky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cnxxsnkz1eddtzcng_uc" Type="http://schemas.openxmlformats.org/officeDocument/2006/relationships/hyperlink" Target="https://dalil.kg/document/230035416" TargetMode="External"/><Relationship Id="rIdolf99frgdrx14lvyxohmi" Type="http://schemas.openxmlformats.org/officeDocument/2006/relationships/hyperlink" Target="https://dalil.kg/document/4" TargetMode="External"/><Relationship Id="rIdvirnmletjduhunltecjfx" Type="http://schemas.openxmlformats.org/officeDocument/2006/relationships/hyperlink" Target="https://dalil.kg/document/203685#st_10" TargetMode="External"/><Relationship Id="rIdb4lvu4gwkutihxkywkc1l" Type="http://schemas.openxmlformats.org/officeDocument/2006/relationships/hyperlink" Target="https://dalil.kg/document/203685#st_17" TargetMode="External"/><Relationship Id="rIdy77gr5iymtpwwwxieb-i2" Type="http://schemas.openxmlformats.org/officeDocument/2006/relationships/hyperlink" Target="https://dalil.kg/document/100148" TargetMode="External"/><Relationship Id="rIdl8ndgeukpcehwric4yvjp" Type="http://schemas.openxmlformats.org/officeDocument/2006/relationships/hyperlink" Target="https://dalil.kg/document/100149" TargetMode="External"/><Relationship Id="rIdnrfnt8ns6fniim6mtytib" Type="http://schemas.openxmlformats.org/officeDocument/2006/relationships/hyperlink" Target="https://dalil.kg/document/100148" TargetMode="External"/><Relationship Id="rIdee3d1iasljxxavxdvlsiq" Type="http://schemas.openxmlformats.org/officeDocument/2006/relationships/hyperlink" Target="https://dalil.kg/document/100150" TargetMode="External"/><Relationship Id="rId6y-ndeb3r7n_nnxgzdxmx" Type="http://schemas.openxmlformats.org/officeDocument/2006/relationships/hyperlink" Target="https://dalil.kg/document/100148" TargetMode="External"/><Relationship Id="rIdeqeyrqnbzi5lkpyleuwqc" Type="http://schemas.openxmlformats.org/officeDocument/2006/relationships/hyperlink" Target="https://dalil.kg/document/11616" TargetMode="External"/><Relationship Id="rIdqgvo2t-cuii15mfmoqivc" Type="http://schemas.openxmlformats.org/officeDocument/2006/relationships/hyperlink" Target="https://dalil.kg/document/11617" TargetMode="External"/><Relationship Id="rIdi10npagz4notdjymafcoo" Type="http://schemas.openxmlformats.org/officeDocument/2006/relationships/hyperlink" Target="https://dalil.kg/document/11616"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lm7nmtyha1-jgnut1bez" Type="http://schemas.openxmlformats.org/officeDocument/2006/relationships/hyperlink" Target="https://dalil.kg/document/158295" TargetMode="External"/><Relationship Id="rIdh-iogscqa3yaxq5k_sky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2026-09-24T09:35:30.013Z</dcterms:created>
  <dcterms:modified xsi:type="dcterms:W3CDTF">2026-09-24T09:35:30.013Z</dcterms:modified>
</cp:coreProperties>
</file>

<file path=docProps/custom.xml><?xml version="1.0" encoding="utf-8"?>
<Properties xmlns="http://schemas.openxmlformats.org/officeDocument/2006/custom-properties" xmlns:vt="http://schemas.openxmlformats.org/officeDocument/2006/docPropsVTypes"/>
</file>