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27 июля 2021 года № 89</w:t>
      </w:r>
    </w:p>
    <w:p>
      <w:pPr>
        <w:spacing w:after="120"/>
        <w:jc w:val="both"/>
      </w:pPr>
      <w:r>
        <w:rPr>
          <w:rFonts w:ascii="Arial" w:cs="Arial" w:eastAsia="Arial" w:hAnsi="Arial"/>
          <w:sz w:val="28"/>
          <w:szCs w:val="28"/>
        </w:rPr>
        <w:t xml:space="preserve">О заключении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(Закон Кыргызской Республики "О тарифах страховых взносов по государственному социальному страхованию", Закон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 </w:t>
      </w:r>
      <w:r>
        <w:rPr>
          <w:rFonts w:ascii="Arial" w:cs="Arial" w:eastAsia="Arial" w:hAnsi="Arial"/>
          <w:sz w:val="24"/>
          <w:szCs w:val="24"/>
        </w:rPr>
        <w:t xml:space="preserve">конституционного </w:t>
      </w:r>
      <w:hyperlink w:history="1" r:id="rIdeidgvlr9hsxv61vxkf3k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j6sb4dtnw0rfrfgg5fxl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w:t>
      </w:r>
      <w:hyperlink w:history="1" r:id="rIdoaod4xwb-lg6106q0e7j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w:t>
      </w:r>
      <w:hyperlink w:history="1" r:id="rIdzdcrlbl7z2wbli79uemc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инициированный депутатом Жогорку Кенеша Кыргызской Республики Ибраевым С.К.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Кабинета Министров Кыргызской Республики
 от 27 июля 2021 года № 89</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некоторые законодательные акты Кыргызской Республики (Закон Кыргызской Республики "О тарифах страховых взносов по государственному социальному страхованию", Закон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 к</w:t>
      </w:r>
      <w:r>
        <w:rPr>
          <w:rFonts w:ascii="Arial" w:cs="Arial" w:eastAsia="Arial" w:hAnsi="Arial"/>
          <w:sz w:val="24"/>
          <w:szCs w:val="24"/>
        </w:rPr>
        <w:t xml:space="preserve">онституционного </w:t>
      </w:r>
      <w:hyperlink w:history="1" r:id="rIdavvzb_zthss4cqw8196d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Кабинет Министров Кыргызской Республики, рассмотрев проект Закона Кыргызской Республики "О внесении изменений в некоторые законодательные акты Кыргызской Республики (</w:t>
      </w:r>
      <w:hyperlink w:history="1" r:id="rIdqoepnekfio5otwtmftip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w:t>
      </w:r>
      <w:hyperlink w:history="1" r:id="rIdmwl-m2bi3fcwvhdwfnd2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(далее - проект Закона), инициированный депутатом Жогорку Кенеша Кыргызской Республики Ибраевым С.К., приходит к следующему заключению.</w:t>
      </w:r>
    </w:p>
    <w:p>
      <w:pPr>
        <w:spacing w:after="60"/>
        <w:ind w:firstLine="567"/>
        <w:jc w:val="both"/>
      </w:pPr>
      <w:r>
        <w:rPr>
          <w:rFonts w:ascii="Arial" w:cs="Arial" w:eastAsia="Arial" w:hAnsi="Arial"/>
          <w:sz w:val="24"/>
          <w:szCs w:val="24"/>
        </w:rPr>
        <w:t xml:space="preserve">Согласно справке-обоснованию, вышеназванный проект Закона разработан в целях модернизации не только пенсионного законодательства, но и всей экономики Кыргызской Республики.</w:t>
      </w:r>
    </w:p>
    <w:p>
      <w:pPr>
        <w:spacing w:after="60"/>
        <w:ind w:firstLine="567"/>
        <w:jc w:val="both"/>
      </w:pPr>
      <w:r>
        <w:rPr>
          <w:rFonts w:ascii="Arial" w:cs="Arial" w:eastAsia="Arial" w:hAnsi="Arial"/>
          <w:sz w:val="24"/>
          <w:szCs w:val="24"/>
        </w:rPr>
        <w:t xml:space="preserve">Так, статьей 1 проекта Закона предусматривается внесение изменения в </w:t>
      </w:r>
      <w:r>
        <w:rPr>
          <w:rFonts w:ascii="Arial" w:cs="Arial" w:eastAsia="Arial" w:hAnsi="Arial"/>
          <w:sz w:val="24"/>
          <w:szCs w:val="24"/>
        </w:rPr>
        <w:t xml:space="preserve">статью 2 </w:t>
      </w:r>
      <w:hyperlink w:history="1" r:id="rIdxdxy2bhvrjdbi4fgkz2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согласно которому предлагается увеличить ставки тарифа страхового взноса в Государственный накопительный пенсионный фонд (далее - ГНПФ) с 2 до 13% (на 11%) за счет снижения установленной ставки тарифа страхового взноса в Пенсионный фонд с 23 до 10%.</w:t>
      </w:r>
    </w:p>
    <w:p>
      <w:pPr>
        <w:spacing w:after="60"/>
        <w:ind w:firstLine="567"/>
        <w:jc w:val="both"/>
      </w:pPr>
      <w:r>
        <w:rPr>
          <w:rFonts w:ascii="Arial" w:cs="Arial" w:eastAsia="Arial" w:hAnsi="Arial"/>
          <w:sz w:val="24"/>
          <w:szCs w:val="24"/>
        </w:rPr>
        <w:t xml:space="preserve">В свою очередь, в справке-обосновании к проекту Закона указывается, что принятие предлагаемого законопроекта не повлечет дополнительных финансовых затрат из республиканского бюджета.</w:t>
      </w:r>
    </w:p>
    <w:p>
      <w:pPr>
        <w:spacing w:after="60"/>
        <w:ind w:firstLine="567"/>
        <w:jc w:val="both"/>
      </w:pPr>
      <w:r>
        <w:rPr>
          <w:rFonts w:ascii="Arial" w:cs="Arial" w:eastAsia="Arial" w:hAnsi="Arial"/>
          <w:sz w:val="24"/>
          <w:szCs w:val="24"/>
        </w:rPr>
        <w:t xml:space="preserve">При этом отмечаем, что основой пенсионной системы Кыргызской Республики является обязательное государственное пенсионное страхование, которое представлено в виде условно-накопительной пенсионной системы. Доходы Пенсионного фонда состоят из страховых взносов работающих граждан и ассигнований, выделяемых Социальному фонду при Министерстве здравоохранения и социальной защиты Кыргызской Республики (далее - Социальный фонд) из республиканского бюджета на выплату базовой части пенсии, льготных пенсий, надбавок к пенсиям отдельных категорий пенсионеров, пенсий военнослужащим.</w:t>
      </w:r>
    </w:p>
    <w:p>
      <w:pPr>
        <w:spacing w:after="60"/>
        <w:ind w:firstLine="567"/>
        <w:jc w:val="both"/>
      </w:pPr>
      <w:r>
        <w:rPr>
          <w:rFonts w:ascii="Arial" w:cs="Arial" w:eastAsia="Arial" w:hAnsi="Arial"/>
          <w:sz w:val="24"/>
          <w:szCs w:val="24"/>
        </w:rPr>
        <w:t xml:space="preserve">Финансовое состояние пенсионной системы зависит от страховых взносов плательщиков. Пенсионная система Кыргызской Республики базируется на принципе солидарности, который предполагает перераспределение средств при солидарной поддержке поколений.</w:t>
      </w:r>
    </w:p>
    <w:p>
      <w:pPr>
        <w:spacing w:after="60"/>
        <w:ind w:firstLine="567"/>
        <w:jc w:val="both"/>
      </w:pPr>
      <w:r>
        <w:rPr>
          <w:rFonts w:ascii="Arial" w:cs="Arial" w:eastAsia="Arial" w:hAnsi="Arial"/>
          <w:sz w:val="24"/>
          <w:szCs w:val="24"/>
        </w:rPr>
        <w:t xml:space="preserve">Вместе с этим следует отметить, что установление ставки тарифа страхового взноса в ГНПФ в размере 13%, за счет снижения на 10% установленной ставки тарифа страхового взноса в Пенсионный фонд, повлечет следующие риски:</w:t>
      </w:r>
    </w:p>
    <w:p>
      <w:pPr>
        <w:spacing w:after="60"/>
        <w:ind w:firstLine="567"/>
        <w:jc w:val="both"/>
      </w:pPr>
      <w:r>
        <w:rPr>
          <w:rFonts w:ascii="Arial" w:cs="Arial" w:eastAsia="Arial" w:hAnsi="Arial"/>
          <w:sz w:val="24"/>
          <w:szCs w:val="24"/>
        </w:rPr>
        <w:t xml:space="preserve">- дефицит бюджета Пенсионного фонда:</w:t>
      </w:r>
    </w:p>
    <w:p>
      <w:pPr>
        <w:spacing w:after="60"/>
        <w:ind w:firstLine="567"/>
        <w:jc w:val="both"/>
      </w:pPr>
      <w:r>
        <w:rPr>
          <w:rFonts w:ascii="Arial" w:cs="Arial" w:eastAsia="Arial" w:hAnsi="Arial"/>
          <w:sz w:val="24"/>
          <w:szCs w:val="24"/>
        </w:rPr>
        <w:t xml:space="preserve">в 2021 году - 11428,9 млн. сомов;</w:t>
      </w:r>
    </w:p>
    <w:p>
      <w:pPr>
        <w:spacing w:after="60"/>
        <w:ind w:firstLine="567"/>
        <w:jc w:val="both"/>
      </w:pPr>
      <w:r>
        <w:rPr>
          <w:rFonts w:ascii="Arial" w:cs="Arial" w:eastAsia="Arial" w:hAnsi="Arial"/>
          <w:sz w:val="24"/>
          <w:szCs w:val="24"/>
        </w:rPr>
        <w:t xml:space="preserve">в 2022 году - 11741,1 млн. сомов;</w:t>
      </w:r>
    </w:p>
    <w:p>
      <w:pPr>
        <w:spacing w:after="60"/>
        <w:ind w:firstLine="567"/>
        <w:jc w:val="both"/>
      </w:pPr>
      <w:r>
        <w:rPr>
          <w:rFonts w:ascii="Arial" w:cs="Arial" w:eastAsia="Arial" w:hAnsi="Arial"/>
          <w:sz w:val="24"/>
          <w:szCs w:val="24"/>
        </w:rPr>
        <w:t xml:space="preserve">в 2023 году - 12509,4 млн. сомов;</w:t>
      </w:r>
    </w:p>
    <w:p>
      <w:pPr>
        <w:spacing w:after="60"/>
        <w:ind w:firstLine="567"/>
        <w:jc w:val="both"/>
      </w:pPr>
      <w:r>
        <w:rPr>
          <w:rFonts w:ascii="Arial" w:cs="Arial" w:eastAsia="Arial" w:hAnsi="Arial"/>
          <w:sz w:val="24"/>
          <w:szCs w:val="24"/>
        </w:rPr>
        <w:t xml:space="preserve">- возникновение угрозы из-за несвоевременного финансирования пенсий, что вызовет социальное напряжение среди пенсионеров;</w:t>
      </w:r>
    </w:p>
    <w:p>
      <w:pPr>
        <w:spacing w:after="60"/>
        <w:ind w:firstLine="567"/>
        <w:jc w:val="both"/>
      </w:pPr>
      <w:r>
        <w:rPr>
          <w:rFonts w:ascii="Arial" w:cs="Arial" w:eastAsia="Arial" w:hAnsi="Arial"/>
          <w:sz w:val="24"/>
          <w:szCs w:val="24"/>
        </w:rPr>
        <w:t xml:space="preserve">- уменьшение размера второй страховой части пенсии, поскольку он зависит от уплачиваемых страховых взносов. При снижении ставки страховых взносов в Пенсионный фонд на 10%, сумма уплачиваемых страховых взносов будет меньше и соответственно размер второй страховой части пенсии и сумма индексации к нему будут меньше;</w:t>
      </w:r>
    </w:p>
    <w:p>
      <w:pPr>
        <w:spacing w:after="60"/>
        <w:ind w:firstLine="567"/>
        <w:jc w:val="both"/>
      </w:pPr>
      <w:r>
        <w:rPr>
          <w:rFonts w:ascii="Arial" w:cs="Arial" w:eastAsia="Arial" w:hAnsi="Arial"/>
          <w:sz w:val="24"/>
          <w:szCs w:val="24"/>
        </w:rPr>
        <w:t xml:space="preserve">- невозможность поддержания размера пенсий на социально приемлемом уровне и увеличение численности низкодоходных групп пенсионеров (размер пенсии которых не достигает прожиточного минимума пенсионера) из-за отсутствия возможности ежегодного повышения пенсий.</w:t>
      </w:r>
    </w:p>
    <w:p>
      <w:pPr>
        <w:spacing w:after="60"/>
        <w:ind w:firstLine="567"/>
        <w:jc w:val="both"/>
      </w:pPr>
      <w:r>
        <w:rPr>
          <w:rFonts w:ascii="Arial" w:cs="Arial" w:eastAsia="Arial" w:hAnsi="Arial"/>
          <w:sz w:val="24"/>
          <w:szCs w:val="24"/>
        </w:rPr>
        <w:t xml:space="preserve">В связи с этим, в случае возникновения дефицита бюджета Социального фонда, Кабинету Министров Кыргызской Республики, в соответствии с пунктом 3 </w:t>
      </w:r>
      <w:r>
        <w:rPr>
          <w:rFonts w:ascii="Arial" w:cs="Arial" w:eastAsia="Arial" w:hAnsi="Arial"/>
          <w:sz w:val="24"/>
          <w:szCs w:val="24"/>
        </w:rPr>
        <w:t xml:space="preserve">статьи 36 </w:t>
      </w:r>
      <w:hyperlink w:history="1" r:id="rIdmj7p4i5wqdu2gcfzsoe2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придется ежегодно предусматривать дотации из республиканского бюджета на покрытие общего дефицита Социального фонда.</w:t>
      </w:r>
    </w:p>
    <w:p>
      <w:pPr>
        <w:spacing w:after="60"/>
        <w:ind w:firstLine="567"/>
        <w:jc w:val="both"/>
      </w:pPr>
      <w:r>
        <w:rPr>
          <w:rFonts w:ascii="Arial" w:cs="Arial" w:eastAsia="Arial" w:hAnsi="Arial"/>
          <w:sz w:val="24"/>
          <w:szCs w:val="24"/>
        </w:rPr>
        <w:t xml:space="preserve">Таким образом, в случае принятия проекта Закона, доля средств, выделяемых Социальному фонду из республиканского бюджета, значительно возрастет, и соответственно увеличится нагрузка на республиканский бюджет.</w:t>
      </w:r>
    </w:p>
    <w:p>
      <w:pPr>
        <w:spacing w:after="60"/>
        <w:ind w:firstLine="567"/>
        <w:jc w:val="both"/>
      </w:pPr>
      <w:r>
        <w:rPr>
          <w:rFonts w:ascii="Arial" w:cs="Arial" w:eastAsia="Arial" w:hAnsi="Arial"/>
          <w:sz w:val="24"/>
          <w:szCs w:val="24"/>
        </w:rPr>
        <w:t xml:space="preserve">Кроме того, сведения, изложенные в справке-обосновании, не соответствуют предлагаемым нормам проекта Закона. Так, согласно справке-обоснованию, предлагается создание Страхового фонда (2%), Базового фонда (13%), Накопительного фонда (13%), то есть общая ставка составит 28%, при этом согласно проекту, общая ставка составляет 28,25% со следующим распределением по фондам: Пенсионный фонд - 13%, ГНПФ - 13%, ФОМС - 2%, ФОТ - 0,25%, то есть не определен источник финансирования создаваемых фондов.</w:t>
      </w:r>
    </w:p>
    <w:p>
      <w:pPr>
        <w:spacing w:after="60"/>
        <w:ind w:firstLine="567"/>
        <w:jc w:val="both"/>
      </w:pPr>
      <w:r>
        <w:rPr>
          <w:rFonts w:ascii="Arial" w:cs="Arial" w:eastAsia="Arial" w:hAnsi="Arial"/>
          <w:sz w:val="24"/>
          <w:szCs w:val="24"/>
        </w:rPr>
        <w:t xml:space="preserve">Так, </w:t>
      </w:r>
      <w:hyperlink w:history="1" r:id="rId-p4ltydxfrhaqkd4v9w7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установлены следующие виды обеспечения по государственному социальному страхованию: пенсионное обеспечение; ритуальное пособие (на погребение); компенсация затрат на обязательное медицинское страхование; финансирование мероприятий по оздоровлению застрахованных лиц и членов их семей, находящихся на их иждивении.</w:t>
      </w:r>
    </w:p>
    <w:p>
      <w:pPr>
        <w:spacing w:after="60"/>
        <w:ind w:firstLine="567"/>
        <w:jc w:val="both"/>
      </w:pPr>
      <w:r>
        <w:rPr>
          <w:rFonts w:ascii="Arial" w:cs="Arial" w:eastAsia="Arial" w:hAnsi="Arial"/>
          <w:sz w:val="24"/>
          <w:szCs w:val="24"/>
        </w:rPr>
        <w:t xml:space="preserve">Реформирование пенсионной системы, согласно справке-обоснованию к рассматриваемому проекту Закона, с ориентиром на опыт Сингапура и созданием вышеуказанных трех фондов, с учетом обесценивания пенсионных сбережений из-за высокого уровня инфляции, девальвации, низкого уровня доходов населения, высокого уровня трудовой миграции, уклонения от уплаты страховых взносов позволит оздоровить экономику, обеспечить ее быстрый рост.</w:t>
      </w:r>
    </w:p>
    <w:p>
      <w:pPr>
        <w:spacing w:after="60"/>
        <w:ind w:firstLine="567"/>
        <w:jc w:val="both"/>
      </w:pPr>
      <w:r>
        <w:rPr>
          <w:rFonts w:ascii="Arial" w:cs="Arial" w:eastAsia="Arial" w:hAnsi="Arial"/>
          <w:sz w:val="24"/>
          <w:szCs w:val="24"/>
        </w:rPr>
        <w:t xml:space="preserve">При этом, средства Страхового фонда будут направляться на солидарную часть пенсионной системы, в частности, на выплату пенсий по инвалидности и по потере кормильца.</w:t>
      </w:r>
    </w:p>
    <w:p>
      <w:pPr>
        <w:spacing w:after="60"/>
        <w:ind w:firstLine="567"/>
        <w:jc w:val="both"/>
      </w:pPr>
      <w:r>
        <w:rPr>
          <w:rFonts w:ascii="Arial" w:cs="Arial" w:eastAsia="Arial" w:hAnsi="Arial"/>
          <w:sz w:val="24"/>
          <w:szCs w:val="24"/>
        </w:rPr>
        <w:t xml:space="preserve">Базовый фонд создается для текущих выплат пенсионерам.</w:t>
      </w:r>
    </w:p>
    <w:p>
      <w:pPr>
        <w:spacing w:after="60"/>
        <w:ind w:firstLine="567"/>
        <w:jc w:val="both"/>
      </w:pPr>
      <w:r>
        <w:rPr>
          <w:rFonts w:ascii="Arial" w:cs="Arial" w:eastAsia="Arial" w:hAnsi="Arial"/>
          <w:sz w:val="24"/>
          <w:szCs w:val="24"/>
        </w:rPr>
        <w:t xml:space="preserve">Средства Накопительного фонда - будут зачисляться на лицевые пенсионные счета граждан, и будут использоваться для накопления денежных средств на выплату пенсий владельцам этих счетов.</w:t>
      </w:r>
    </w:p>
    <w:p>
      <w:pPr>
        <w:spacing w:after="60"/>
        <w:ind w:firstLine="567"/>
        <w:jc w:val="both"/>
      </w:pPr>
      <w:r>
        <w:rPr>
          <w:rFonts w:ascii="Arial" w:cs="Arial" w:eastAsia="Arial" w:hAnsi="Arial"/>
          <w:sz w:val="24"/>
          <w:szCs w:val="24"/>
        </w:rPr>
        <w:t xml:space="preserve">Вместе с тем, третий фонд является "новизной" и именно он станет основой пенсионной системы, поэтому предлагается половину Накопительного фонда формировать в золоте, а половину - в национальной валюте, что, по замыслу разработчиков, обеспечит беспрецедентную высокую надежность пенсионных сбережений.</w:t>
      </w:r>
    </w:p>
    <w:p>
      <w:pPr>
        <w:spacing w:after="60"/>
        <w:ind w:firstLine="567"/>
        <w:jc w:val="both"/>
      </w:pPr>
      <w:r>
        <w:rPr>
          <w:rFonts w:ascii="Arial" w:cs="Arial" w:eastAsia="Arial" w:hAnsi="Arial"/>
          <w:sz w:val="24"/>
          <w:szCs w:val="24"/>
        </w:rPr>
        <w:t xml:space="preserve">Далее, в целях недопущения хранения золота как "мертвого груза" и недопущения в оборот золота, так как велик риск утраты пенсионных накоплений, предлагается каждые три года конвертировать половину личных пенсионных накоплений в золоте в национальную валюту и покупать на эти деньги жилую и коммерческую недвижимость, а финансирование потерь Пенсионного фонда, которые возникнут за счет направления средств в другие фонды, - осуществить за счет республиканского бюджета.</w:t>
      </w:r>
    </w:p>
    <w:p>
      <w:pPr>
        <w:spacing w:after="60"/>
        <w:ind w:firstLine="567"/>
        <w:jc w:val="both"/>
      </w:pPr>
      <w:r>
        <w:rPr>
          <w:rFonts w:ascii="Arial" w:cs="Arial" w:eastAsia="Arial" w:hAnsi="Arial"/>
          <w:sz w:val="24"/>
          <w:szCs w:val="24"/>
        </w:rPr>
        <w:t xml:space="preserve">Исходя из вышеизложенного, отмечаем, что экономическая и политическая реформа Сингапура проводилась под жестким контролем всех сфер жизни государства, и Сингапур - по-прежнему одно из самых регулируемых обществ в мире.</w:t>
      </w:r>
    </w:p>
    <w:p>
      <w:pPr>
        <w:spacing w:after="60"/>
        <w:ind w:firstLine="567"/>
        <w:jc w:val="both"/>
      </w:pPr>
      <w:r>
        <w:rPr>
          <w:rFonts w:ascii="Arial" w:cs="Arial" w:eastAsia="Arial" w:hAnsi="Arial"/>
          <w:sz w:val="24"/>
          <w:szCs w:val="24"/>
        </w:rPr>
        <w:t xml:space="preserve">К примеру, в Сингапуре изъятие средств пенсионных накоплений для первоначального взноса на жилье производится за счет высокой ставки отчислений, которая достигает до 37%, далее, при таком изъятии у будущего пенсионера должна остаться минимальная сумма, на которую можно будет купить пожизненную ренту в лицензированной страховой компании, чтобы помочь обеспечить базовые потребности на пенсии. Если будет куплена пожизненная рента, то выплаты осуществляются в течение всей жизни или пока не иссякнут деньги на счету.</w:t>
      </w:r>
    </w:p>
    <w:p>
      <w:pPr>
        <w:spacing w:after="60"/>
        <w:ind w:firstLine="567"/>
        <w:jc w:val="both"/>
      </w:pPr>
      <w:r>
        <w:rPr>
          <w:rFonts w:ascii="Arial" w:cs="Arial" w:eastAsia="Arial" w:hAnsi="Arial"/>
          <w:sz w:val="24"/>
          <w:szCs w:val="24"/>
        </w:rPr>
        <w:t xml:space="preserve">В этой связи копирование опыта Сингапура является некорректным, так как обязательной пенсионной системы и обязательств перед пенсионерами на тот момент не существовало. Более того, предложение таких радикальных реформ без конкретных расчетов, актуарных обоснований, с направлением пенсионных накоплений граждан на такие высокорискованные мероприятия, как вложение в указанные инвестиционные активы, может привести к их потере и как следствие приведет к усугублению проблемы низких размеров пенсий как в настоящем, так и в будущем. Тогда как первостепенной целью для Социального фонда в работе с накопительным компонентом является сохранность и диверсификация пенсионных накоплений застрахованных граждан.</w:t>
      </w:r>
    </w:p>
    <w:p>
      <w:pPr>
        <w:spacing w:after="60"/>
        <w:ind w:firstLine="567"/>
        <w:jc w:val="both"/>
      </w:pPr>
      <w:r>
        <w:rPr>
          <w:rFonts w:ascii="Arial" w:cs="Arial" w:eastAsia="Arial" w:hAnsi="Arial"/>
          <w:sz w:val="24"/>
          <w:szCs w:val="24"/>
        </w:rPr>
        <w:t xml:space="preserve">Даже если со стороны государства будет осуществлен жесткий контроль, из-за влияния сопутствующих факторов внутри и извне, вложение значительных сумм средств пенсионных накоплений в вышеуказанные инструменты полностью нецелесообразно, так как в случае наступления риска полной потери активов, застрахованные граждане останутся без средств существования, и решение данной проблемы ляжет на республиканский бюджет.</w:t>
      </w:r>
    </w:p>
    <w:p>
      <w:pPr>
        <w:spacing w:after="60"/>
        <w:ind w:firstLine="567"/>
        <w:jc w:val="both"/>
      </w:pPr>
      <w:r>
        <w:rPr>
          <w:rFonts w:ascii="Arial" w:cs="Arial" w:eastAsia="Arial" w:hAnsi="Arial"/>
          <w:sz w:val="24"/>
          <w:szCs w:val="24"/>
        </w:rPr>
        <w:t xml:space="preserve">Вместе с тем, ключевым параметром, определяющим эффективность пенсионной системы, является коэффициент замещения, который рассчитывается как соотношение пенсии к прежним доходам (заработкам) получателя пенсии. Любое нецелевое использование пенсионных накоплений на другие цели, кроме выплаты пенсий, будет снижать коэффициент замещения, а значит, будет ухудшать эффективность пенсионной системы.</w:t>
      </w:r>
    </w:p>
    <w:p>
      <w:pPr>
        <w:spacing w:after="60"/>
        <w:ind w:firstLine="567"/>
        <w:jc w:val="both"/>
      </w:pPr>
      <w:r>
        <w:rPr>
          <w:rFonts w:ascii="Arial" w:cs="Arial" w:eastAsia="Arial" w:hAnsi="Arial"/>
          <w:sz w:val="24"/>
          <w:szCs w:val="24"/>
        </w:rPr>
        <w:t xml:space="preserve">При этом, не все страны, пенсионные системы которых основаны полностью на накопительном элементе, достигли высоких показателей по коэффициенту замещения. Опыт таких стран, как Чили и Казахстан, показал, что накопительная пенсионная система в чистом виде имеет большое количество проблем и уже не рассматривается как достойная замена распределительным пенсионным схемам.</w:t>
      </w:r>
    </w:p>
    <w:p>
      <w:pPr>
        <w:spacing w:after="60"/>
        <w:ind w:firstLine="567"/>
        <w:jc w:val="both"/>
      </w:pPr>
      <w:r>
        <w:rPr>
          <w:rFonts w:ascii="Arial" w:cs="Arial" w:eastAsia="Arial" w:hAnsi="Arial"/>
          <w:sz w:val="24"/>
          <w:szCs w:val="24"/>
        </w:rPr>
        <w:t xml:space="preserve">Многие западные страны, практически все арабские страны и некоторые страны Латинской Америки, выбравшие в прошлом накопительные системы, постепенно отказались от них.</w:t>
      </w:r>
    </w:p>
    <w:p>
      <w:pPr>
        <w:spacing w:after="60"/>
        <w:ind w:firstLine="567"/>
        <w:jc w:val="both"/>
      </w:pPr>
      <w:r>
        <w:rPr>
          <w:rFonts w:ascii="Arial" w:cs="Arial" w:eastAsia="Arial" w:hAnsi="Arial"/>
          <w:sz w:val="24"/>
          <w:szCs w:val="24"/>
        </w:rPr>
        <w:t xml:space="preserve">Сингапурская модель пенсионного обеспечения тоже имеет свои недостатки, в частности, в ней отсутствует солидарная (распределительная) часть, которая является крайне важной составной частью любой пенсионной системы и должна обеспечивать защиту от нищеты тем пенсионерам, кто не смог по разным причинам делать регулярные взносы или делал слишком маленькие взносы в накопительную пенсионную систему.</w:t>
      </w:r>
    </w:p>
    <w:p>
      <w:pPr>
        <w:spacing w:after="60"/>
        <w:ind w:firstLine="567"/>
        <w:jc w:val="both"/>
      </w:pPr>
      <w:r>
        <w:rPr>
          <w:rFonts w:ascii="Arial" w:cs="Arial" w:eastAsia="Arial" w:hAnsi="Arial"/>
          <w:sz w:val="24"/>
          <w:szCs w:val="24"/>
        </w:rPr>
        <w:t xml:space="preserve">Необходимо отметить, что в справке-обосновании к проекту Закона не указывается сумма потерь бюджета при принятии данного законопроекта, и сумма, подлежащая компенсации из республиканского бюджета для покрытия отвлекаемых средств из Пенсионного фонда.</w:t>
      </w:r>
    </w:p>
    <w:p>
      <w:pPr>
        <w:spacing w:after="60"/>
        <w:ind w:firstLine="567"/>
        <w:jc w:val="both"/>
      </w:pPr>
      <w:r>
        <w:rPr>
          <w:rFonts w:ascii="Arial" w:cs="Arial" w:eastAsia="Arial" w:hAnsi="Arial"/>
          <w:sz w:val="24"/>
          <w:szCs w:val="24"/>
        </w:rPr>
        <w:t xml:space="preserve">Также, в соответствии со </w:t>
      </w:r>
      <w:r>
        <w:rPr>
          <w:rFonts w:ascii="Arial" w:cs="Arial" w:eastAsia="Arial" w:hAnsi="Arial"/>
          <w:sz w:val="24"/>
          <w:szCs w:val="24"/>
        </w:rPr>
        <w:t xml:space="preserve">статьей 19 </w:t>
      </w:r>
      <w:hyperlink w:history="1" r:id="rIdrigjkzxlidy2omq3r9qw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направленных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При этом отмечаем, что проект нормативного правового акта подлежит отклонению в случае непредставления разработчиком обоснования, подготовленного на основе анализа регулятивного воздействия.</w:t>
      </w:r>
    </w:p>
    <w:p>
      <w:pPr>
        <w:spacing w:after="60"/>
        <w:ind w:firstLine="567"/>
        <w:jc w:val="both"/>
      </w:pPr>
      <w:r>
        <w:rPr>
          <w:rFonts w:ascii="Arial" w:cs="Arial" w:eastAsia="Arial" w:hAnsi="Arial"/>
          <w:sz w:val="24"/>
          <w:szCs w:val="24"/>
        </w:rPr>
        <w:t xml:space="preserve">Кроме того, следует отметить, что предлагаемые проектом Закона меры в части изменений законодательства о тарифах страховых взносов по государственному социальному страхованию требуют тщательной проработки. Вместе с тем, в настоящее время в рамках межведомственной рабочей группы по реформе в сфере государственного социального страхования в Кыргызской Республике, созданной приказом Министерства экономики и финансов Кыргызской Республики от 20 апреля 2021 года № 6, проводится работа в данном направлении.</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возможным принятие указанного проекта Закона, только в части внесения изменений в </w:t>
      </w:r>
      <w:hyperlink w:history="1" r:id="rIdoahpo_woyk-agftrrgl7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предусматривающих включение аффинированного золота в инструменты инвестирования средств пенсионных накоплений.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5klhwayg2icz0mlqxl6a">
      <w:r>
        <w:rPr>
          <w:rFonts w:ascii="Arial" w:cs="Arial" w:eastAsia="Arial" w:hAnsi="Arial"/>
          <w:color w:val="132D3F"/>
          <w:sz w:val="16"/>
          <w:szCs w:val="16"/>
          <w:u w:val="single"/>
        </w:rPr>
        <w:t xml:space="preserve">dalil.kg/document/158375</w:t>
      </w:r>
    </w:hyperlink>
  </w:p>
  <w:p>
    <w:pPr>
      <w:spacing w:after="0" w:before="40"/>
      <w:jc w:val="center"/>
    </w:pPr>
    <w:hyperlink w:history="1" r:id="rIdwgquncqukdbxhomemn9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dgvlr9hsxv61vxkf3ki" Type="http://schemas.openxmlformats.org/officeDocument/2006/relationships/hyperlink" Target="https://dalil.kg/document/203685" TargetMode="External"/><Relationship Id="rIdj6sb4dtnw0rfrfgg5fxlw" Type="http://schemas.openxmlformats.org/officeDocument/2006/relationships/hyperlink" Target="https://dalil.kg/document/158375#pr" TargetMode="External"/><Relationship Id="rIdoaod4xwb-lg6106q0e7jf" Type="http://schemas.openxmlformats.org/officeDocument/2006/relationships/hyperlink" Target="https://dalil.kg/document/1393" TargetMode="External"/><Relationship Id="rIdzdcrlbl7z2wbli79uemca" Type="http://schemas.openxmlformats.org/officeDocument/2006/relationships/hyperlink" Target="https://dalil.kg/document/203321" TargetMode="External"/><Relationship Id="rIdavvzb_zthss4cqw8196da" Type="http://schemas.openxmlformats.org/officeDocument/2006/relationships/hyperlink" Target="https://dalil.kg/document/203685" TargetMode="External"/><Relationship Id="rIdqoepnekfio5otwtmftipv" Type="http://schemas.openxmlformats.org/officeDocument/2006/relationships/hyperlink" Target="https://dalil.kg/document/1393" TargetMode="External"/><Relationship Id="rIdmwl-m2bi3fcwvhdwfnd2q" Type="http://schemas.openxmlformats.org/officeDocument/2006/relationships/hyperlink" Target="https://dalil.kg/document/203321" TargetMode="External"/><Relationship Id="rIdxdxy2bhvrjdbi4fgkz2cs" Type="http://schemas.openxmlformats.org/officeDocument/2006/relationships/hyperlink" Target="https://dalil.kg/document/1393" TargetMode="External"/><Relationship Id="rIdmj7p4i5wqdu2gcfzsoe2c" Type="http://schemas.openxmlformats.org/officeDocument/2006/relationships/hyperlink" Target="https://dalil.kg/document/557" TargetMode="External"/><Relationship Id="rId-p4ltydxfrhaqkd4v9w7b" Type="http://schemas.openxmlformats.org/officeDocument/2006/relationships/hyperlink" Target="https://dalil.kg/document/627" TargetMode="External"/><Relationship Id="rIdrigjkzxlidy2omq3r9qwg" Type="http://schemas.openxmlformats.org/officeDocument/2006/relationships/hyperlink" Target="https://dalil.kg/document/202591" TargetMode="External"/><Relationship Id="rIdoahpo_woyk-agftrrgl7e" Type="http://schemas.openxmlformats.org/officeDocument/2006/relationships/hyperlink" Target="https://dalil.kg/document/20332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5klhwayg2icz0mlqxl6a" Type="http://schemas.openxmlformats.org/officeDocument/2006/relationships/hyperlink" Target="https://dalil.kg/document/158375" TargetMode="External"/><Relationship Id="rIdwgquncqukdbxhomemn9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2026-09-29T14:30:06.662Z</dcterms:created>
  <dcterms:modified xsi:type="dcterms:W3CDTF">2026-09-29T14:30:06.662Z</dcterms:modified>
</cp:coreProperties>
</file>

<file path=docProps/custom.xml><?xml version="1.0" encoding="utf-8"?>
<Properties xmlns="http://schemas.openxmlformats.org/officeDocument/2006/custom-properties" xmlns:vt="http://schemas.openxmlformats.org/officeDocument/2006/docPropsVTypes"/>
</file>