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400" w:before="400"/>
        <w:jc w:val="both"/>
      </w:pPr>
      <w:r>
        <w:rPr>
          <w:rFonts w:ascii="Arial" w:cs="Arial" w:eastAsia="Arial" w:hAnsi="Arial"/>
          <w:sz w:val="24"/>
          <w:szCs w:val="24"/>
        </w:rPr>
        <w:t xml:space="preserve">от 9 августа 2021 года № 117</w:t>
      </w:r>
    </w:p>
    <w:p>
      <w:pPr>
        <w:spacing w:after="400" w:before="400"/>
        <w:jc w:val="center"/>
      </w:pPr>
      <w:r>
        <w:rPr>
          <w:rFonts w:ascii="Arial" w:cs="Arial" w:eastAsia="Arial" w:hAnsi="Arial"/>
          <w:b/>
          <w:bCs/>
          <w:sz w:val="28"/>
          <w:szCs w:val="28"/>
        </w:rPr>
        <w:t xml:space="preserve">О заключении Кабинета Министров Кыргызской Республики на проект Закона Кыргызской Республики "Об охране зеленых насаждений в населенных пунктах Кыргызской Республики"</w:t>
      </w:r>
    </w:p>
    <w:p>
      <w:pPr>
        <w:spacing w:after="60"/>
        <w:ind w:firstLine="567"/>
        <w:jc w:val="both"/>
      </w:pPr>
      <w:r>
        <w:rPr>
          <w:rFonts w:ascii="Arial" w:cs="Arial" w:eastAsia="Arial" w:hAnsi="Arial"/>
          <w:sz w:val="24"/>
          <w:szCs w:val="24"/>
        </w:rPr>
        <w:t xml:space="preserve">В соответствии со </w:t>
      </w:r>
      <w:hyperlink w:history="1" r:id="rIdedo-wvynzqbe_zvnbdcjv">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Одобрить прилагаемое </w:t>
      </w:r>
      <w:hyperlink w:history="1" r:id="rIdnciqx_g06gmbu3iepqhuw">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Кабинета Министров Кыргызской Республики на проект конституционного Закона Кыргызской Республики "О Счетной палате Кыргызской Республики", инициированный депутатами Жогорку Кенеша Кыргызской Республики Токтошевым Э.Т., Жапаровым А.У., Абдылдаевым Ш.И., Примовым У.Б., Жоробековым Т.У.</w:t>
      </w:r>
    </w:p>
    <w:p>
      <w:pPr>
        <w:spacing w:after="12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У.А. Марипов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Одобрено
 постановлением Кабинета Министров </w:t>
      </w:r>
    </w:p>
    <w:p>
      <w:pPr>
        <w:spacing w:after="400" w:before="400"/>
        <w:jc w:val="center"/>
      </w:pPr>
      <w:r>
        <w:rPr>
          <w:rFonts w:ascii="Arial" w:cs="Arial" w:eastAsia="Arial" w:hAnsi="Arial"/>
          <w:b/>
          <w:bCs/>
          <w:sz w:val="32"/>
          <w:szCs w:val="32"/>
        </w:rPr>
        <w:t xml:space="preserve">ЗАКЛЮЧЕНИЕ
 Кабинета Министров Кыргызской Республики на проект конституционного Закона Кыргызской Республики "О Счетной палате Кыргызской Республики"</w:t>
      </w:r>
    </w:p>
    <w:p>
      <w:pPr>
        <w:spacing w:after="60"/>
        <w:ind w:firstLine="567"/>
        <w:jc w:val="both"/>
      </w:pPr>
      <w:r>
        <w:rPr>
          <w:rFonts w:ascii="Arial" w:cs="Arial" w:eastAsia="Arial" w:hAnsi="Arial"/>
          <w:sz w:val="24"/>
          <w:szCs w:val="24"/>
        </w:rPr>
        <w:t xml:space="preserve">Кабинет Министров Кыргызской Республики в соответствии со </w:t>
      </w:r>
      <w:hyperlink w:history="1" r:id="rIdxxmvnxzpvsdsmc3iff74c">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рассмотрев проект конституционного Закона Кыргызской Республики "О Счетной палате Кыргызской Республики", инициированный депутатами Жогорку Кенеша Кыргызской Республики Токтошевым Э.Т., Жапаровым А.У., Абдылдаевым Ш.И., Примовым У.Б., Жоробековым Т.У. (далее - проект конституционного Закона), приходит к следующему заключению:</w:t>
      </w:r>
    </w:p>
    <w:p>
      <w:pPr>
        <w:spacing w:after="60"/>
        <w:ind w:firstLine="567"/>
        <w:jc w:val="both"/>
      </w:pPr>
      <w:r>
        <w:rPr>
          <w:rFonts w:ascii="Arial" w:cs="Arial" w:eastAsia="Arial" w:hAnsi="Arial"/>
          <w:sz w:val="24"/>
          <w:szCs w:val="24"/>
        </w:rPr>
        <w:t xml:space="preserve">1. В преамбуле проекта конституционного Закона указано, что данный конституционный Закон в соответствии с </w:t>
      </w:r>
      <w:hyperlink w:history="1" r:id="rIdqhkw4ffjzjwixwcpw2yfp">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определяет организацию и порядок деятельности, а также гарантии независимости Счетной палаты Кыргызской Республики (далее - Счетная палата).</w:t>
      </w:r>
    </w:p>
    <w:p>
      <w:pPr>
        <w:spacing w:after="60"/>
        <w:ind w:firstLine="567"/>
        <w:jc w:val="both"/>
      </w:pPr>
      <w:r>
        <w:rPr>
          <w:rFonts w:ascii="Arial" w:cs="Arial" w:eastAsia="Arial" w:hAnsi="Arial"/>
          <w:sz w:val="24"/>
          <w:szCs w:val="24"/>
        </w:rPr>
        <w:t xml:space="preserve">Согласно </w:t>
      </w:r>
      <w:hyperlink w:history="1" r:id="rIdgvvo7xbufsi-j-nbavf0c">
        <w:r>
          <w:rPr>
            <w:rFonts w:ascii="Arial" w:cs="Arial" w:eastAsia="Arial" w:hAnsi="Arial"/>
            <w:color w:val="1D4ED8"/>
            <w:sz w:val="24"/>
            <w:szCs w:val="24"/>
            <w:u w:val="single"/>
          </w:rPr>
          <w:t xml:space="preserve">статье 12</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преамбула (введение) - самостоятельная, не являющаяся обязательной, часть нормативного правового акта, содержащая информацию о причинах, условиях и целях его принятия (издания). Включение нормативных предписаний в преамбулу не допускается.</w:t>
      </w:r>
    </w:p>
    <w:p>
      <w:pPr>
        <w:spacing w:after="60"/>
        <w:ind w:firstLine="567"/>
        <w:jc w:val="both"/>
      </w:pPr>
      <w:r>
        <w:rPr>
          <w:rFonts w:ascii="Arial" w:cs="Arial" w:eastAsia="Arial" w:hAnsi="Arial"/>
          <w:sz w:val="24"/>
          <w:szCs w:val="24"/>
        </w:rPr>
        <w:t xml:space="preserve">Поскольку преамбула устанавливает нормативные предписания, необходимо преамбулу проекта исключить либо оформить самостоятельной статьей.</w:t>
      </w:r>
    </w:p>
    <w:p>
      <w:pPr>
        <w:spacing w:after="60"/>
        <w:ind w:firstLine="567"/>
        <w:jc w:val="both"/>
      </w:pPr>
      <w:r>
        <w:rPr>
          <w:rFonts w:ascii="Arial" w:cs="Arial" w:eastAsia="Arial" w:hAnsi="Arial"/>
          <w:sz w:val="24"/>
          <w:szCs w:val="24"/>
        </w:rPr>
        <w:t xml:space="preserve">2. Частью 6 статьи 3 проекта конституционного Закона предлагается установить, что производство обыска, выемки, осмотра и осуществление иных действий, а также проникновение представителей власти в жилище и иные объекты, находящиеся в собственности или ином праве председателя, аудитора, допускаются лишь с согласия Жогорку Кенеша Кыргызской Республики.</w:t>
      </w:r>
    </w:p>
    <w:p>
      <w:pPr>
        <w:spacing w:after="60"/>
        <w:ind w:firstLine="567"/>
        <w:jc w:val="both"/>
      </w:pPr>
      <w:r>
        <w:rPr>
          <w:rFonts w:ascii="Arial" w:cs="Arial" w:eastAsia="Arial" w:hAnsi="Arial"/>
          <w:sz w:val="24"/>
          <w:szCs w:val="24"/>
        </w:rPr>
        <w:t xml:space="preserve">Согласно </w:t>
      </w:r>
      <w:hyperlink w:history="1" r:id="rId8trnhfjirnwulpehdv9yp">
        <w:r>
          <w:rPr>
            <w:rFonts w:ascii="Arial" w:cs="Arial" w:eastAsia="Arial" w:hAnsi="Arial"/>
            <w:color w:val="1D4ED8"/>
            <w:sz w:val="24"/>
            <w:szCs w:val="24"/>
            <w:u w:val="single"/>
          </w:rPr>
          <w:t xml:space="preserve">статье 30</w:t>
        </w:r>
      </w:hyperlink>
      <w:r>
        <w:rPr>
          <w:rFonts w:ascii="Arial" w:cs="Arial" w:eastAsia="Arial" w:hAnsi="Arial"/>
          <w:sz w:val="24"/>
          <w:szCs w:val="24"/>
        </w:rPr>
        <w:t xml:space="preserve"> Конституции Кыргызской Республики производство обыска, выемки, осмотра и осуществление иных действий, а также проникновение представителей власти в жилище и иные объекты, находящиеся в собственности или ином праве, допускаются лишь на основании судебного решения.</w:t>
      </w:r>
    </w:p>
    <w:p>
      <w:pPr>
        <w:spacing w:after="60"/>
        <w:ind w:firstLine="567"/>
        <w:jc w:val="both"/>
      </w:pPr>
      <w:r>
        <w:rPr>
          <w:rFonts w:ascii="Arial" w:cs="Arial" w:eastAsia="Arial" w:hAnsi="Arial"/>
          <w:sz w:val="24"/>
          <w:szCs w:val="24"/>
        </w:rPr>
        <w:t xml:space="preserve">Также, согласно </w:t>
      </w:r>
      <w:hyperlink w:history="1" r:id="rIdqmclkvirydyvukr5qaytu">
        <w:r>
          <w:rPr>
            <w:rFonts w:ascii="Arial" w:cs="Arial" w:eastAsia="Arial" w:hAnsi="Arial"/>
            <w:color w:val="1D4ED8"/>
            <w:sz w:val="24"/>
            <w:szCs w:val="24"/>
            <w:u w:val="single"/>
          </w:rPr>
          <w:t xml:space="preserve">статье 14</w:t>
        </w:r>
      </w:hyperlink>
      <w:r>
        <w:rPr>
          <w:rFonts w:ascii="Arial" w:cs="Arial" w:eastAsia="Arial" w:hAnsi="Arial"/>
          <w:sz w:val="24"/>
          <w:szCs w:val="24"/>
        </w:rPr>
        <w:t xml:space="preserve"> Уголовно-процессуального кодекса Кыргызской Республики, в случаях, предусмотренных уголовно-процессуальным кодексом, обыск, выемка, осмотр и осуществление иных процессуальных действий, а также проникновение в жилище или иные объекты, находящиеся в собственности или ином праве, допускаются без судебного решения. Законность и обоснованность таких действий подлежат рассмотрению судом.</w:t>
      </w:r>
    </w:p>
    <w:p>
      <w:pPr>
        <w:spacing w:after="60"/>
        <w:ind w:firstLine="567"/>
        <w:jc w:val="both"/>
      </w:pPr>
      <w:r>
        <w:rPr>
          <w:rFonts w:ascii="Arial" w:cs="Arial" w:eastAsia="Arial" w:hAnsi="Arial"/>
          <w:sz w:val="24"/>
          <w:szCs w:val="24"/>
        </w:rPr>
        <w:t xml:space="preserve">В целом предлагаемые положения являются предметом регулирования Уголовно-процессуального </w:t>
      </w:r>
      <w:hyperlink w:history="1" r:id="rIdlcixv0juzdi227qrpmse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Учитывая изложенное, предлагаем часть 6 статьи 3 привести в соответствие со </w:t>
      </w:r>
      <w:hyperlink w:history="1" r:id="rIdm9dmgbwcbblfef0tgbm8h">
        <w:r>
          <w:rPr>
            <w:rFonts w:ascii="Arial" w:cs="Arial" w:eastAsia="Arial" w:hAnsi="Arial"/>
            <w:color w:val="1D4ED8"/>
            <w:sz w:val="24"/>
            <w:szCs w:val="24"/>
            <w:u w:val="single"/>
          </w:rPr>
          <w:t xml:space="preserve">статьей 30</w:t>
        </w:r>
      </w:hyperlink>
      <w:r>
        <w:rPr>
          <w:rFonts w:ascii="Arial" w:cs="Arial" w:eastAsia="Arial" w:hAnsi="Arial"/>
          <w:sz w:val="24"/>
          <w:szCs w:val="24"/>
        </w:rPr>
        <w:t xml:space="preserve"> Конституции Кыргызской Республики и </w:t>
      </w:r>
      <w:hyperlink w:history="1" r:id="rIdy6xeclbs5x5c-41uwtymu">
        <w:r>
          <w:rPr>
            <w:rFonts w:ascii="Arial" w:cs="Arial" w:eastAsia="Arial" w:hAnsi="Arial"/>
            <w:color w:val="1D4ED8"/>
            <w:sz w:val="24"/>
            <w:szCs w:val="24"/>
            <w:u w:val="single"/>
          </w:rPr>
          <w:t xml:space="preserve">статьей 14</w:t>
        </w:r>
      </w:hyperlink>
      <w:r>
        <w:rPr>
          <w:rFonts w:ascii="Arial" w:cs="Arial" w:eastAsia="Arial" w:hAnsi="Arial"/>
          <w:sz w:val="24"/>
          <w:szCs w:val="24"/>
        </w:rPr>
        <w:t xml:space="preserve"> Уголовно-процессуального кодекса Кыргызской Республики.</w:t>
      </w:r>
    </w:p>
    <w:p>
      <w:pPr>
        <w:spacing w:after="60"/>
        <w:ind w:firstLine="567"/>
        <w:jc w:val="both"/>
      </w:pPr>
      <w:r>
        <w:rPr>
          <w:rFonts w:ascii="Arial" w:cs="Arial" w:eastAsia="Arial" w:hAnsi="Arial"/>
          <w:sz w:val="24"/>
          <w:szCs w:val="24"/>
        </w:rPr>
        <w:t xml:space="preserve">3. Статьей 5 проекта конституционного Закона определен перечень основных понятий, используемых в данном конституционном Законе.</w:t>
      </w:r>
    </w:p>
    <w:p>
      <w:pPr>
        <w:spacing w:after="60"/>
        <w:ind w:firstLine="567"/>
        <w:jc w:val="both"/>
      </w:pPr>
      <w:r>
        <w:rPr>
          <w:rFonts w:ascii="Arial" w:cs="Arial" w:eastAsia="Arial" w:hAnsi="Arial"/>
          <w:sz w:val="24"/>
          <w:szCs w:val="24"/>
        </w:rPr>
        <w:t xml:space="preserve">Поскольку предлагаемый перечень является исчерпывающим, предлагаем в наименовании статьи слово "Основные" исключить.</w:t>
      </w:r>
    </w:p>
    <w:p>
      <w:pPr>
        <w:spacing w:after="60"/>
        <w:ind w:firstLine="567"/>
        <w:jc w:val="both"/>
      </w:pPr>
      <w:r>
        <w:rPr>
          <w:rFonts w:ascii="Arial" w:cs="Arial" w:eastAsia="Arial" w:hAnsi="Arial"/>
          <w:sz w:val="24"/>
          <w:szCs w:val="24"/>
        </w:rPr>
        <w:t xml:space="preserve">4. Пунктом 2 статьи 5 проекта конституционного Закона предлагается указать, что под финансовым аудитом понимается независимая деятельность, направленная на получение разумного подтверждения того, что финансовая отчетность в целом не содержит существенных искажений, завершаемая выражением мнения о соответствии финансовой отчетности со всех существенных точек зрения применяемой нормативной базе по финансовой отчетности.</w:t>
      </w:r>
    </w:p>
    <w:p>
      <w:pPr>
        <w:spacing w:after="60"/>
        <w:ind w:firstLine="567"/>
        <w:jc w:val="both"/>
      </w:pPr>
      <w:r>
        <w:rPr>
          <w:rFonts w:ascii="Arial" w:cs="Arial" w:eastAsia="Arial" w:hAnsi="Arial"/>
          <w:sz w:val="24"/>
          <w:szCs w:val="24"/>
        </w:rPr>
        <w:t xml:space="preserve">Частью 1 статьи 49 проекта конституционного Закона предлагается установить, что Счетная палата имеет право обратиться в профильный комитет Жогорку Кенеша Кыргызской Республики за дополнительным финансированием, в случаях если расходы связаны с делом важного или безотлагательного характера и которые невозможно было предусмотреть при подготовке проекта бюджета Счетной палаты.</w:t>
      </w:r>
    </w:p>
    <w:p>
      <w:pPr>
        <w:spacing w:after="60"/>
        <w:ind w:firstLine="567"/>
        <w:jc w:val="both"/>
      </w:pPr>
      <w:r>
        <w:rPr>
          <w:rFonts w:ascii="Arial" w:cs="Arial" w:eastAsia="Arial" w:hAnsi="Arial"/>
          <w:sz w:val="24"/>
          <w:szCs w:val="24"/>
        </w:rPr>
        <w:t xml:space="preserve">Согласно </w:t>
      </w:r>
      <w:hyperlink w:history="1" r:id="rIdb_p8z6yohxq-dn1sw6rpr">
        <w:r>
          <w:rPr>
            <w:rFonts w:ascii="Arial" w:cs="Arial" w:eastAsia="Arial" w:hAnsi="Arial"/>
            <w:color w:val="1D4ED8"/>
            <w:sz w:val="24"/>
            <w:szCs w:val="24"/>
            <w:u w:val="single"/>
          </w:rPr>
          <w:t xml:space="preserve">статье 11</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текст нормативного правового акта излагается с соблюдением норм литературного языка и юридической терминологии. При изложении норм права следует избегать чрезмерно обобщенных либо чрезмерно детализированных формулировок.</w:t>
      </w:r>
    </w:p>
    <w:p>
      <w:pPr>
        <w:spacing w:after="60"/>
        <w:ind w:firstLine="567"/>
        <w:jc w:val="both"/>
      </w:pPr>
      <w:r>
        <w:rPr>
          <w:rFonts w:ascii="Arial" w:cs="Arial" w:eastAsia="Arial" w:hAnsi="Arial"/>
          <w:sz w:val="24"/>
          <w:szCs w:val="24"/>
        </w:rPr>
        <w:t xml:space="preserve">Предлагаемые формулировки являются размытыми и оценочными, которые в правоприменении могут использоваться субъективно и соответственно создавать противоречивую практику применения.</w:t>
      </w:r>
    </w:p>
    <w:p>
      <w:pPr>
        <w:spacing w:after="60"/>
        <w:ind w:firstLine="567"/>
        <w:jc w:val="both"/>
      </w:pPr>
      <w:r>
        <w:rPr>
          <w:rFonts w:ascii="Arial" w:cs="Arial" w:eastAsia="Arial" w:hAnsi="Arial"/>
          <w:sz w:val="24"/>
          <w:szCs w:val="24"/>
        </w:rPr>
        <w:t xml:space="preserve">Учитывая требования указанного Закона, необходимо пересмотреть вышеуказанные формулировки.</w:t>
      </w:r>
    </w:p>
    <w:p>
      <w:pPr>
        <w:spacing w:after="60"/>
        <w:ind w:firstLine="567"/>
        <w:jc w:val="both"/>
      </w:pPr>
      <w:r>
        <w:rPr>
          <w:rFonts w:ascii="Arial" w:cs="Arial" w:eastAsia="Arial" w:hAnsi="Arial"/>
          <w:sz w:val="24"/>
          <w:szCs w:val="24"/>
        </w:rPr>
        <w:t xml:space="preserve">Аналогичные замечания по пунктам 3, 4 и 5 статьи 5, части 1 статьи 49 проекта конституционного Закона.</w:t>
      </w:r>
    </w:p>
    <w:p>
      <w:pPr>
        <w:spacing w:after="60"/>
        <w:ind w:firstLine="567"/>
        <w:jc w:val="both"/>
      </w:pPr>
      <w:r>
        <w:rPr>
          <w:rFonts w:ascii="Arial" w:cs="Arial" w:eastAsia="Arial" w:hAnsi="Arial"/>
          <w:sz w:val="24"/>
          <w:szCs w:val="24"/>
        </w:rPr>
        <w:t xml:space="preserve">5. Пунктом 5 статьи 7 проекта конституционного Закона предлагается установить, что одной из функций Счетной палаты является аудит Национального банка Кыргызской Республики, его структурных подразделений, других банков и небанковских кредитных организаций, входящих в банковскую систему Кыргызской Республики, в части осуществления операций по обслуживанию счетов Правительства Кыргызской Республики, правильности исчисления прибыли, отчисляемой в республиканский бюджет, по обслуживанию государственного долга Кыргызской Республики.</w:t>
      </w:r>
    </w:p>
    <w:p>
      <w:pPr>
        <w:spacing w:after="60"/>
        <w:ind w:firstLine="567"/>
        <w:jc w:val="both"/>
      </w:pPr>
      <w:r>
        <w:rPr>
          <w:rFonts w:ascii="Arial" w:cs="Arial" w:eastAsia="Arial" w:hAnsi="Arial"/>
          <w:sz w:val="24"/>
          <w:szCs w:val="24"/>
        </w:rPr>
        <w:t xml:space="preserve">Так, согласно </w:t>
      </w:r>
      <w:hyperlink w:history="1" r:id="rIdeumwwkxo5db3wbbqcmpuy">
        <w:r>
          <w:rPr>
            <w:rFonts w:ascii="Arial" w:cs="Arial" w:eastAsia="Arial" w:hAnsi="Arial"/>
            <w:color w:val="1D4ED8"/>
            <w:sz w:val="24"/>
            <w:szCs w:val="24"/>
            <w:u w:val="single"/>
          </w:rPr>
          <w:t xml:space="preserve">Указу</w:t>
        </w:r>
      </w:hyperlink>
      <w:r>
        <w:rPr>
          <w:rFonts w:ascii="Arial" w:cs="Arial" w:eastAsia="Arial" w:hAnsi="Arial"/>
          <w:sz w:val="24"/>
          <w:szCs w:val="24"/>
        </w:rPr>
        <w:t xml:space="preserve"> Президента Кыргызской Республики "О Кабинете Министров Кыргызской Республики" от 5 мая 2021 года № 114, Правительство Кыргызской Республики преобразовано в Кабинет Министров Кыргызской Республики.</w:t>
      </w:r>
    </w:p>
    <w:p>
      <w:pPr>
        <w:spacing w:after="60"/>
        <w:ind w:firstLine="567"/>
        <w:jc w:val="both"/>
      </w:pPr>
      <w:r>
        <w:rPr>
          <w:rFonts w:ascii="Arial" w:cs="Arial" w:eastAsia="Arial" w:hAnsi="Arial"/>
          <w:sz w:val="24"/>
          <w:szCs w:val="24"/>
        </w:rPr>
        <w:t xml:space="preserve">Ввиду чего пункт 5 статьи 7 проекта конституционного Закона необходимо привести в соответствие с названным </w:t>
      </w:r>
      <w:hyperlink w:history="1" r:id="rIdyqsyihebpr__bnwvvz6ff">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 Пунктом 9 статьи 7 проекта конституционного Закона предусмотрен перечень функций Счетной палаты, в число которых входит анализ подлежащих ратификации Жогорку Кенешем Кыргызской Республики проектов нормативных правовых актов, международных договоров Кыргызской Республики, государственных программ, затрагивающих вопросы республиканского бюджета Кыргызской Республики, в пределах полномочий Счетной палаты.</w:t>
      </w:r>
    </w:p>
    <w:p>
      <w:pPr>
        <w:spacing w:after="60"/>
        <w:ind w:firstLine="567"/>
        <w:jc w:val="both"/>
      </w:pPr>
      <w:r>
        <w:rPr>
          <w:rFonts w:ascii="Arial" w:cs="Arial" w:eastAsia="Arial" w:hAnsi="Arial"/>
          <w:sz w:val="24"/>
          <w:szCs w:val="24"/>
        </w:rPr>
        <w:t xml:space="preserve">Согласно </w:t>
      </w:r>
      <w:hyperlink w:history="1" r:id="rIddjb39u5zw3p21szjjrcld">
        <w:r>
          <w:rPr>
            <w:rFonts w:ascii="Arial" w:cs="Arial" w:eastAsia="Arial" w:hAnsi="Arial"/>
            <w:color w:val="1D4ED8"/>
            <w:sz w:val="24"/>
            <w:szCs w:val="24"/>
            <w:u w:val="single"/>
          </w:rPr>
          <w:t xml:space="preserve">статье 11</w:t>
        </w:r>
      </w:hyperlink>
      <w:r>
        <w:rPr>
          <w:rFonts w:ascii="Arial" w:cs="Arial" w:eastAsia="Arial" w:hAnsi="Arial"/>
          <w:sz w:val="24"/>
          <w:szCs w:val="24"/>
        </w:rPr>
        <w:t xml:space="preserve"> Закона Кыргызской Республики "О международных договорах", ратификации подлежат межгосударственные и межправительственные международные договоры, подписанные уполномоченными должностными лицами Кыргызской Республики или принятые на международных конференциях путем голосования. Равным образом ратификации Кыргызской Республикой подлежат межгосударственные и межправительственные международные договоры, о ратификации которых стороны условились в соответствии с нормами международного права.</w:t>
      </w:r>
    </w:p>
    <w:p>
      <w:pPr>
        <w:spacing w:after="60"/>
        <w:ind w:firstLine="567"/>
        <w:jc w:val="both"/>
      </w:pPr>
      <w:r>
        <w:rPr>
          <w:rFonts w:ascii="Arial" w:cs="Arial" w:eastAsia="Arial" w:hAnsi="Arial"/>
          <w:sz w:val="24"/>
          <w:szCs w:val="24"/>
        </w:rPr>
        <w:t xml:space="preserve">Между тем, исходя из предложенной редакции, ратификации также будут подлежать нормативные правовые акты и государственные программы.</w:t>
      </w:r>
    </w:p>
    <w:p>
      <w:pPr>
        <w:spacing w:after="60"/>
        <w:ind w:firstLine="567"/>
        <w:jc w:val="both"/>
      </w:pPr>
      <w:r>
        <w:rPr>
          <w:rFonts w:ascii="Arial" w:cs="Arial" w:eastAsia="Arial" w:hAnsi="Arial"/>
          <w:sz w:val="24"/>
          <w:szCs w:val="24"/>
        </w:rPr>
        <w:t xml:space="preserve">В связи с чем редакция пункта 9 статьи 7 проекта конституционного Закона подлежит доработке.</w:t>
      </w:r>
    </w:p>
    <w:p>
      <w:pPr>
        <w:spacing w:after="60"/>
        <w:ind w:firstLine="567"/>
        <w:jc w:val="both"/>
      </w:pPr>
      <w:r>
        <w:rPr>
          <w:rFonts w:ascii="Arial" w:cs="Arial" w:eastAsia="Arial" w:hAnsi="Arial"/>
          <w:sz w:val="24"/>
          <w:szCs w:val="24"/>
        </w:rPr>
        <w:t xml:space="preserve">Аналогичное замечание по части 2 статьи 39 проекта конституционного Закона.</w:t>
      </w:r>
    </w:p>
    <w:p>
      <w:pPr>
        <w:spacing w:after="60"/>
        <w:ind w:firstLine="567"/>
        <w:jc w:val="both"/>
      </w:pPr>
      <w:r>
        <w:rPr>
          <w:rFonts w:ascii="Arial" w:cs="Arial" w:eastAsia="Arial" w:hAnsi="Arial"/>
          <w:sz w:val="24"/>
          <w:szCs w:val="24"/>
        </w:rPr>
        <w:t xml:space="preserve">7. Частью 5 статьи 9 проекта конституционного Закона предлагается предусмотреть, что неисполнение председателем Счетной палаты, аудиторами и служащими Счетной палаты правил Этического кодекса влечет ответственность в случаях и порядке, установленных данным конституционным Законом.</w:t>
      </w:r>
    </w:p>
    <w:p>
      <w:pPr>
        <w:spacing w:after="60"/>
        <w:ind w:firstLine="567"/>
        <w:jc w:val="both"/>
      </w:pPr>
      <w:r>
        <w:rPr>
          <w:rFonts w:ascii="Arial" w:cs="Arial" w:eastAsia="Arial" w:hAnsi="Arial"/>
          <w:sz w:val="24"/>
          <w:szCs w:val="24"/>
        </w:rPr>
        <w:t xml:space="preserve">Поскольку в проекте не содержатся положения, устанавливающие случаи и порядок ответственности за неисполнения правил Этического кодекса, необходимо пересмотреть часть 5 статьи 9 проекта конституционного Закона.</w:t>
      </w:r>
    </w:p>
    <w:p>
      <w:pPr>
        <w:spacing w:after="60"/>
        <w:ind w:firstLine="567"/>
        <w:jc w:val="both"/>
      </w:pPr>
      <w:r>
        <w:rPr>
          <w:rFonts w:ascii="Arial" w:cs="Arial" w:eastAsia="Arial" w:hAnsi="Arial"/>
          <w:sz w:val="24"/>
          <w:szCs w:val="24"/>
        </w:rPr>
        <w:t xml:space="preserve">8. В связи с тем, что Счетная палата по законодательству Кыргызской Республики не является нормотворческим государственным органом, считаем необходимым часть 1 статьи 11 проекта конституционного Закона изложить в следующей редакции:</w:t>
      </w:r>
    </w:p>
    <w:p>
      <w:pPr>
        <w:spacing w:after="60"/>
        <w:ind w:firstLine="567"/>
        <w:jc w:val="both"/>
      </w:pPr>
      <w:r>
        <w:rPr>
          <w:rFonts w:ascii="Arial" w:cs="Arial" w:eastAsia="Arial" w:hAnsi="Arial"/>
          <w:sz w:val="24"/>
          <w:szCs w:val="24"/>
        </w:rPr>
        <w:t xml:space="preserve">"1. Структура, штатное расписание Счетной палаты утверждаются председателем Счетной палаты в пределах штатной численности сотрудников, определяемой Президентом Кыргызской Республики, и в пределах средств, предусмотренных Законом Кыргызской Республики о республиканском бюджете на соответствующий год для осуществления деятельности Счетной палаты.".</w:t>
      </w:r>
    </w:p>
    <w:p>
      <w:pPr>
        <w:spacing w:after="60"/>
        <w:ind w:firstLine="567"/>
        <w:jc w:val="both"/>
      </w:pPr>
      <w:r>
        <w:rPr>
          <w:rFonts w:ascii="Arial" w:cs="Arial" w:eastAsia="Arial" w:hAnsi="Arial"/>
          <w:sz w:val="24"/>
          <w:szCs w:val="24"/>
        </w:rPr>
        <w:t xml:space="preserve">9. Также предлагаем часть 5 статьи 11 проекта конституционного Закона изложить в следующей редакции:</w:t>
      </w:r>
    </w:p>
    <w:p>
      <w:pPr>
        <w:spacing w:after="60"/>
        <w:ind w:firstLine="567"/>
        <w:jc w:val="both"/>
      </w:pPr>
      <w:r>
        <w:rPr>
          <w:rFonts w:ascii="Arial" w:cs="Arial" w:eastAsia="Arial" w:hAnsi="Arial"/>
          <w:sz w:val="24"/>
          <w:szCs w:val="24"/>
        </w:rPr>
        <w:t xml:space="preserve">"5. Счетная палата в установленном законодательством порядке вправе создавать подведомственные подразделения, организация и порядок деятельности которых определяются соответствующими положениями в пределах штатной численности сотрудников, определяемой Президентом Кыргызской Республики, и средств, предусмотренных Законом Кыргызской Республики о республиканском бюджете на соответствующий год для осуществления деятельности Счетной палаты.".</w:t>
      </w:r>
    </w:p>
    <w:p>
      <w:pPr>
        <w:spacing w:after="60"/>
        <w:ind w:firstLine="567"/>
        <w:jc w:val="both"/>
      </w:pPr>
      <w:r>
        <w:rPr>
          <w:rFonts w:ascii="Arial" w:cs="Arial" w:eastAsia="Arial" w:hAnsi="Arial"/>
          <w:sz w:val="24"/>
          <w:szCs w:val="24"/>
        </w:rPr>
        <w:t xml:space="preserve">10. В связи с тем, что условия оплаты труда сотрудников Счетной палаты устанавливаются нормативным правовым актом, пункт 2 части 1 статьи 13 проекта конституционного Закона предлагаем изложить в следующей редакции:</w:t>
      </w:r>
    </w:p>
    <w:p>
      <w:pPr>
        <w:spacing w:after="60"/>
        <w:ind w:firstLine="567"/>
        <w:jc w:val="both"/>
      </w:pPr>
      <w:r>
        <w:rPr>
          <w:rFonts w:ascii="Arial" w:cs="Arial" w:eastAsia="Arial" w:hAnsi="Arial"/>
          <w:sz w:val="24"/>
          <w:szCs w:val="24"/>
        </w:rPr>
        <w:t xml:space="preserve">"2) определяет условия материального стимулирования сотрудников Счетной палаты в пределах утвержденного бюджета.".</w:t>
      </w:r>
    </w:p>
    <w:p>
      <w:pPr>
        <w:spacing w:after="60"/>
        <w:ind w:firstLine="567"/>
        <w:jc w:val="both"/>
      </w:pPr>
      <w:r>
        <w:rPr>
          <w:rFonts w:ascii="Arial" w:cs="Arial" w:eastAsia="Arial" w:hAnsi="Arial"/>
          <w:sz w:val="24"/>
          <w:szCs w:val="24"/>
        </w:rPr>
        <w:t xml:space="preserve">Следовательно, абзац второй части 1 статьи 47 проекта конституционного Закона необходимо изложить в следующей редакции:</w:t>
      </w:r>
    </w:p>
    <w:p>
      <w:pPr>
        <w:spacing w:after="60"/>
        <w:ind w:firstLine="567"/>
        <w:jc w:val="both"/>
      </w:pPr>
      <w:r>
        <w:rPr>
          <w:rFonts w:ascii="Arial" w:cs="Arial" w:eastAsia="Arial" w:hAnsi="Arial"/>
          <w:sz w:val="24"/>
          <w:szCs w:val="24"/>
        </w:rPr>
        <w:t xml:space="preserve">"Условия оплаты труда сотрудников Счетной палаты определяются Президентом Кыргызской Республики в пределах утвержденного бюджета для Счетной палаты.".</w:t>
      </w:r>
    </w:p>
    <w:p>
      <w:pPr>
        <w:spacing w:after="60"/>
        <w:ind w:firstLine="567"/>
        <w:jc w:val="both"/>
      </w:pPr>
      <w:r>
        <w:rPr>
          <w:rFonts w:ascii="Arial" w:cs="Arial" w:eastAsia="Arial" w:hAnsi="Arial"/>
          <w:sz w:val="24"/>
          <w:szCs w:val="24"/>
        </w:rPr>
        <w:t xml:space="preserve">11. В пункте 15 части 1 статьи 13 проекта конституционного Закона предлагаем слово "кредитов" заменить словами "бюджетных средств" в соответствии с бюджетным законодательством Кыргызской Республики.</w:t>
      </w:r>
    </w:p>
    <w:p>
      <w:pPr>
        <w:spacing w:after="60"/>
        <w:ind w:firstLine="567"/>
        <w:jc w:val="both"/>
      </w:pPr>
      <w:r>
        <w:rPr>
          <w:rFonts w:ascii="Arial" w:cs="Arial" w:eastAsia="Arial" w:hAnsi="Arial"/>
          <w:sz w:val="24"/>
          <w:szCs w:val="24"/>
        </w:rPr>
        <w:t xml:space="preserve">12. Частью 2 статьи 13 проекта конституционного Закона предлагается установить, что председатель Счетной палаты может иметь другие полномочия, необходимые для выполнения своих обязанностей.</w:t>
      </w:r>
    </w:p>
    <w:p>
      <w:pPr>
        <w:spacing w:after="60"/>
        <w:ind w:firstLine="567"/>
        <w:jc w:val="both"/>
      </w:pPr>
      <w:r>
        <w:rPr>
          <w:rFonts w:ascii="Arial" w:cs="Arial" w:eastAsia="Arial" w:hAnsi="Arial"/>
          <w:sz w:val="24"/>
          <w:szCs w:val="24"/>
        </w:rPr>
        <w:t xml:space="preserve">Предлагаемые положения являются потенциально коррупционными, поскольку предоставляют право соответствующим субъектам без нормативно закрепленных критериев осуществлять иные полномочия, перечень которых не установлен.</w:t>
      </w:r>
    </w:p>
    <w:p>
      <w:pPr>
        <w:spacing w:after="60"/>
        <w:ind w:firstLine="567"/>
        <w:jc w:val="both"/>
      </w:pPr>
      <w:r>
        <w:rPr>
          <w:rFonts w:ascii="Arial" w:cs="Arial" w:eastAsia="Arial" w:hAnsi="Arial"/>
          <w:sz w:val="24"/>
          <w:szCs w:val="24"/>
        </w:rPr>
        <w:t xml:space="preserve">В связи с чем необходимо определить исчерпывающий перечень полномочий, необходимых для выполнения обязанностей председателя Счетной палаты, либо указать в каком нормативном правовом акте могут быть предусмотрены другие полномочия.</w:t>
      </w:r>
    </w:p>
    <w:p>
      <w:pPr>
        <w:spacing w:after="60"/>
        <w:ind w:firstLine="567"/>
        <w:jc w:val="both"/>
      </w:pPr>
      <w:r>
        <w:rPr>
          <w:rFonts w:ascii="Arial" w:cs="Arial" w:eastAsia="Arial" w:hAnsi="Arial"/>
          <w:sz w:val="24"/>
          <w:szCs w:val="24"/>
        </w:rPr>
        <w:t xml:space="preserve">13. Пунктом 10 части 4 статьи 16 проекта конституционного Закона предлагается установить, что полномочия председателя Счетной палаты приостанавливаются в случаях смерти либо вступления в законную силу решения суда о признании его пропавшим или умершим.</w:t>
      </w:r>
    </w:p>
    <w:p>
      <w:pPr>
        <w:spacing w:after="60"/>
        <w:ind w:firstLine="567"/>
        <w:jc w:val="both"/>
      </w:pPr>
      <w:r>
        <w:rPr>
          <w:rFonts w:ascii="Arial" w:cs="Arial" w:eastAsia="Arial" w:hAnsi="Arial"/>
          <w:sz w:val="24"/>
          <w:szCs w:val="24"/>
        </w:rPr>
        <w:t xml:space="preserve">Согласно </w:t>
      </w:r>
      <w:hyperlink w:history="1" r:id="rIdh6jhogopdrmone_iymgao">
        <w:r>
          <w:rPr>
            <w:rFonts w:ascii="Arial" w:cs="Arial" w:eastAsia="Arial" w:hAnsi="Arial"/>
            <w:color w:val="1D4ED8"/>
            <w:sz w:val="24"/>
            <w:szCs w:val="24"/>
            <w:u w:val="single"/>
          </w:rPr>
          <w:t xml:space="preserve">статье 80</w:t>
        </w:r>
      </w:hyperlink>
      <w:r>
        <w:rPr>
          <w:rFonts w:ascii="Arial" w:cs="Arial" w:eastAsia="Arial" w:hAnsi="Arial"/>
          <w:sz w:val="24"/>
          <w:szCs w:val="24"/>
        </w:rPr>
        <w:t xml:space="preserve"> Гражданского кодекса Кыргызской Республики гражданин может быть объявлен судом умершим, если в месте его жительства нет сведений о месте его пребывания в течение трех лет, а если он пропал без вести при обстоятельствах, угрожавших смертью или дающих основание предполагать его гибель от определенного несчастного случая, в течение шести месяцев.</w:t>
      </w:r>
    </w:p>
    <w:p>
      <w:pPr>
        <w:spacing w:after="60"/>
        <w:ind w:firstLine="567"/>
        <w:jc w:val="both"/>
      </w:pPr>
      <w:r>
        <w:rPr>
          <w:rFonts w:ascii="Arial" w:cs="Arial" w:eastAsia="Arial" w:hAnsi="Arial"/>
          <w:sz w:val="24"/>
          <w:szCs w:val="24"/>
        </w:rPr>
        <w:t xml:space="preserve">То есть, при пропаже лица при соответствующих обстоятельствах, суд признает такое лицо "умершим".</w:t>
      </w:r>
    </w:p>
    <w:p>
      <w:pPr>
        <w:spacing w:after="60"/>
        <w:ind w:firstLine="567"/>
        <w:jc w:val="both"/>
      </w:pPr>
      <w:r>
        <w:rPr>
          <w:rFonts w:ascii="Arial" w:cs="Arial" w:eastAsia="Arial" w:hAnsi="Arial"/>
          <w:sz w:val="24"/>
          <w:szCs w:val="24"/>
        </w:rPr>
        <w:t xml:space="preserve">В связи с чем предлагаем в пункте 10 части 4 статьи 16 проекта конституционного Закона слова "пропавшим или" исключить.</w:t>
      </w:r>
    </w:p>
    <w:p>
      <w:pPr>
        <w:spacing w:after="60"/>
        <w:ind w:firstLine="567"/>
        <w:jc w:val="both"/>
      </w:pPr>
      <w:r>
        <w:rPr>
          <w:rFonts w:ascii="Arial" w:cs="Arial" w:eastAsia="Arial" w:hAnsi="Arial"/>
          <w:sz w:val="24"/>
          <w:szCs w:val="24"/>
        </w:rPr>
        <w:t xml:space="preserve">Аналогичные замечания по пункту 9 части 4 статьи 20 проекта конституционного Закона.</w:t>
      </w:r>
    </w:p>
    <w:p>
      <w:pPr>
        <w:spacing w:after="60"/>
        <w:ind w:firstLine="567"/>
        <w:jc w:val="both"/>
      </w:pPr>
      <w:r>
        <w:rPr>
          <w:rFonts w:ascii="Arial" w:cs="Arial" w:eastAsia="Arial" w:hAnsi="Arial"/>
          <w:sz w:val="24"/>
          <w:szCs w:val="24"/>
        </w:rPr>
        <w:t xml:space="preserve">14. По части 5 статьи 16, а также части 5 статьи 20 проекта конституционного Закона сообщаем следующее:</w:t>
      </w:r>
    </w:p>
    <w:p>
      <w:pPr>
        <w:spacing w:after="60"/>
        <w:ind w:firstLine="567"/>
        <w:jc w:val="both"/>
      </w:pPr>
      <w:r>
        <w:rPr>
          <w:rFonts w:ascii="Arial" w:cs="Arial" w:eastAsia="Arial" w:hAnsi="Arial"/>
          <w:sz w:val="24"/>
          <w:szCs w:val="24"/>
        </w:rPr>
        <w:t xml:space="preserve">Производство по возмещению ущерба, причиненного незаконными действиями суда и органов, осуществляющих уголовное судопроизводство, основания возникновения права на реабилитацию регламентируется Уголовно-процессуальным </w:t>
      </w:r>
      <w:hyperlink w:history="1" r:id="rIdi2nsa3qjgoze8ka-dt-kt">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Согласно </w:t>
      </w:r>
      <w:hyperlink w:history="1" r:id="rIdjzg2iqmfdc7v1gsbca46x">
        <w:r>
          <w:rPr>
            <w:rFonts w:ascii="Arial" w:cs="Arial" w:eastAsia="Arial" w:hAnsi="Arial"/>
            <w:color w:val="1D4ED8"/>
            <w:sz w:val="24"/>
            <w:szCs w:val="24"/>
            <w:u w:val="single"/>
          </w:rPr>
          <w:t xml:space="preserve">статье 136</w:t>
        </w:r>
      </w:hyperlink>
      <w:r>
        <w:rPr>
          <w:rFonts w:ascii="Arial" w:cs="Arial" w:eastAsia="Arial" w:hAnsi="Arial"/>
          <w:sz w:val="24"/>
          <w:szCs w:val="24"/>
        </w:rPr>
        <w:t xml:space="preserve"> Уголовно-процессуального кодекса Кыргызской Республики, возмещение реабилитированному имущественного ущерба включает в себя возмещение заработной платы, пенсии, пособия, других средств, которых он лишился в результате уголовного преследования.</w:t>
      </w:r>
    </w:p>
    <w:p>
      <w:pPr>
        <w:spacing w:after="60"/>
        <w:ind w:firstLine="567"/>
        <w:jc w:val="both"/>
      </w:pPr>
      <w:r>
        <w:rPr>
          <w:rFonts w:ascii="Arial" w:cs="Arial" w:eastAsia="Arial" w:hAnsi="Arial"/>
          <w:sz w:val="24"/>
          <w:szCs w:val="24"/>
        </w:rPr>
        <w:t xml:space="preserve">Следовательно, возмещение имущественного ущерба производится на основании судебного акта, вступившего в законную силу, после признания права на реабилитацию за оправданным либо лицом, в отношении которого прекращено уголовное преследование в установленном порядке.</w:t>
      </w:r>
    </w:p>
    <w:p>
      <w:pPr>
        <w:spacing w:after="60"/>
        <w:ind w:firstLine="567"/>
        <w:jc w:val="both"/>
      </w:pPr>
      <w:r>
        <w:rPr>
          <w:rFonts w:ascii="Arial" w:cs="Arial" w:eastAsia="Arial" w:hAnsi="Arial"/>
          <w:sz w:val="24"/>
          <w:szCs w:val="24"/>
        </w:rPr>
        <w:t xml:space="preserve">В этой связи данные нормы законопроекта противоречат вышеуказанным требованиям уголовно-процессуального законодательства Кыргызской Республики, в связи с чем считаем целесообразным исключить часть 5 статьи 16, а также часть 5 статьи 20 проекта конституционного Закона.</w:t>
      </w:r>
    </w:p>
    <w:p>
      <w:pPr>
        <w:spacing w:after="60"/>
        <w:ind w:firstLine="567"/>
        <w:jc w:val="both"/>
      </w:pPr>
      <w:r>
        <w:rPr>
          <w:rFonts w:ascii="Arial" w:cs="Arial" w:eastAsia="Arial" w:hAnsi="Arial"/>
          <w:sz w:val="24"/>
          <w:szCs w:val="24"/>
        </w:rPr>
        <w:t xml:space="preserve">15. Частью 3 статьи 19 проекта конституционного Закона предлагается установить, что аудитор Счетной палаты за свои противоправные действия или бездействие несет дисциплинарную, административную или уголовную ответственность.</w:t>
      </w:r>
    </w:p>
    <w:p>
      <w:pPr>
        <w:spacing w:after="60"/>
        <w:ind w:firstLine="567"/>
        <w:jc w:val="both"/>
      </w:pPr>
      <w:r>
        <w:rPr>
          <w:rFonts w:ascii="Arial" w:cs="Arial" w:eastAsia="Arial" w:hAnsi="Arial"/>
          <w:sz w:val="24"/>
          <w:szCs w:val="24"/>
        </w:rPr>
        <w:t xml:space="preserve">Следует отметить, что </w:t>
      </w:r>
      <w:hyperlink w:history="1" r:id="rIdcfpala7frhg0gvzlboic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утратил силу со дня введения в действие </w:t>
      </w:r>
      <w:hyperlink w:history="1" r:id="rIdcgfiibdwskqhl3pmkunc3">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нарушениях - с 1 января 2019 года.</w:t>
      </w:r>
    </w:p>
    <w:p>
      <w:pPr>
        <w:spacing w:after="60"/>
        <w:ind w:firstLine="567"/>
        <w:jc w:val="both"/>
      </w:pPr>
      <w:r>
        <w:rPr>
          <w:rFonts w:ascii="Arial" w:cs="Arial" w:eastAsia="Arial" w:hAnsi="Arial"/>
          <w:sz w:val="24"/>
          <w:szCs w:val="24"/>
        </w:rPr>
        <w:t xml:space="preserve">В связи с чем предлагаем уточнить, что понимается под административной ответственностью.</w:t>
      </w:r>
    </w:p>
    <w:p>
      <w:pPr>
        <w:spacing w:after="60"/>
        <w:ind w:firstLine="567"/>
        <w:jc w:val="both"/>
      </w:pPr>
      <w:r>
        <w:rPr>
          <w:rFonts w:ascii="Arial" w:cs="Arial" w:eastAsia="Arial" w:hAnsi="Arial"/>
          <w:sz w:val="24"/>
          <w:szCs w:val="24"/>
        </w:rPr>
        <w:t xml:space="preserve">16. Частью 2 статьи 23 проекта конституционного Закона предлагается установить, что порядок, условия проведения конкурса и прохождения государственной службы определяются Счетной палатой.</w:t>
      </w:r>
    </w:p>
    <w:p>
      <w:pPr>
        <w:spacing w:after="60"/>
        <w:ind w:firstLine="567"/>
        <w:jc w:val="both"/>
      </w:pPr>
      <w:r>
        <w:rPr>
          <w:rFonts w:ascii="Arial" w:cs="Arial" w:eastAsia="Arial" w:hAnsi="Arial"/>
          <w:sz w:val="24"/>
          <w:szCs w:val="24"/>
        </w:rPr>
        <w:t xml:space="preserve">Следует отметить, что порядок прохождения государственной гражданской службы и муниципальной службы регулируется </w:t>
      </w:r>
      <w:hyperlink w:history="1" r:id="rIdk0csa0po7donufkgxp-s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w:t>
      </w:r>
    </w:p>
    <w:p>
      <w:pPr>
        <w:spacing w:after="60"/>
        <w:ind w:firstLine="567"/>
        <w:jc w:val="both"/>
      </w:pPr>
      <w:r>
        <w:rPr>
          <w:rFonts w:ascii="Arial" w:cs="Arial" w:eastAsia="Arial" w:hAnsi="Arial"/>
          <w:sz w:val="24"/>
          <w:szCs w:val="24"/>
        </w:rPr>
        <w:t xml:space="preserve">Вместе с тем, в целях отбора профессиональных специалистов в области аудита предлагаем часть 2 статьи 23 проекта конституционного Закона изложить в следующей редакции:</w:t>
      </w:r>
    </w:p>
    <w:p>
      <w:pPr>
        <w:spacing w:after="60"/>
        <w:ind w:firstLine="567"/>
        <w:jc w:val="both"/>
      </w:pPr>
      <w:r>
        <w:rPr>
          <w:rFonts w:ascii="Arial" w:cs="Arial" w:eastAsia="Arial" w:hAnsi="Arial"/>
          <w:sz w:val="24"/>
          <w:szCs w:val="24"/>
        </w:rPr>
        <w:t xml:space="preserve">"2. Дополнительные условия проведения конкурса для служащих в области аудита определяются Президентом Кыргызской Республики.".</w:t>
      </w:r>
    </w:p>
    <w:p>
      <w:pPr>
        <w:spacing w:after="60"/>
        <w:ind w:firstLine="567"/>
        <w:jc w:val="both"/>
      </w:pPr>
      <w:r>
        <w:rPr>
          <w:rFonts w:ascii="Arial" w:cs="Arial" w:eastAsia="Arial" w:hAnsi="Arial"/>
          <w:sz w:val="24"/>
          <w:szCs w:val="24"/>
        </w:rPr>
        <w:t xml:space="preserve">17. Частью 4 статьи 40 проекта конституционного Закона предлагается определить, что Кабинет Министров Кыргызской Республики направляет в Счетную палату одобренный проект закона о республиканском бюджете на очередной бюджетный год и прогнозируемый период, бюджетах Социального фонда, Фонда обязательного медицинского страхования не менее чем за один месяц до его внесения на рассмотрение Жогорку Кенеша Кыргызской Республики.</w:t>
      </w:r>
    </w:p>
    <w:p>
      <w:pPr>
        <w:spacing w:after="60"/>
        <w:ind w:firstLine="567"/>
        <w:jc w:val="both"/>
      </w:pPr>
      <w:r>
        <w:rPr>
          <w:rFonts w:ascii="Arial" w:cs="Arial" w:eastAsia="Arial" w:hAnsi="Arial"/>
          <w:sz w:val="24"/>
          <w:szCs w:val="24"/>
        </w:rPr>
        <w:t xml:space="preserve">Так, </w:t>
      </w:r>
      <w:hyperlink w:history="1" r:id="rIdxpesgw0xafrr7dlyi4dkg">
        <w:r>
          <w:rPr>
            <w:rFonts w:ascii="Arial" w:cs="Arial" w:eastAsia="Arial" w:hAnsi="Arial"/>
            <w:color w:val="1D4ED8"/>
            <w:sz w:val="24"/>
            <w:szCs w:val="24"/>
            <w:u w:val="single"/>
          </w:rPr>
          <w:t xml:space="preserve">статьей 85</w:t>
        </w:r>
      </w:hyperlink>
      <w:r>
        <w:rPr>
          <w:rFonts w:ascii="Arial" w:cs="Arial" w:eastAsia="Arial" w:hAnsi="Arial"/>
          <w:sz w:val="24"/>
          <w:szCs w:val="24"/>
        </w:rPr>
        <w:t xml:space="preserve"> Конституции Кыргызской Республики определен перечень субъектов, имеющих право законодательной инициативы, в число которых Кабинет Министров не входит. Одобрение законопроекта и внесение его в Жогорку Кенеш производится одновременно.</w:t>
      </w:r>
    </w:p>
    <w:p>
      <w:pPr>
        <w:spacing w:after="60"/>
        <w:ind w:firstLine="567"/>
        <w:jc w:val="both"/>
      </w:pPr>
      <w:r>
        <w:rPr>
          <w:rFonts w:ascii="Arial" w:cs="Arial" w:eastAsia="Arial" w:hAnsi="Arial"/>
          <w:sz w:val="24"/>
          <w:szCs w:val="24"/>
        </w:rPr>
        <w:t xml:space="preserve">В связи с чем предлагаем пересмотреть указанные положения на соответствие </w:t>
      </w:r>
      <w:hyperlink w:history="1" r:id="rIdykxwqn_x55mf64opagvh8">
        <w:r>
          <w:rPr>
            <w:rFonts w:ascii="Arial" w:cs="Arial" w:eastAsia="Arial" w:hAnsi="Arial"/>
            <w:color w:val="1D4ED8"/>
            <w:sz w:val="24"/>
            <w:szCs w:val="24"/>
            <w:u w:val="single"/>
          </w:rPr>
          <w:t xml:space="preserve">статье 85</w:t>
        </w:r>
      </w:hyperlink>
      <w:r>
        <w:rPr>
          <w:rFonts w:ascii="Arial" w:cs="Arial" w:eastAsia="Arial" w:hAnsi="Arial"/>
          <w:sz w:val="24"/>
          <w:szCs w:val="24"/>
        </w:rPr>
        <w:t xml:space="preserve"> Конституции.</w:t>
      </w:r>
    </w:p>
    <w:p>
      <w:pPr>
        <w:spacing w:after="60"/>
        <w:ind w:firstLine="567"/>
        <w:jc w:val="both"/>
      </w:pPr>
      <w:r>
        <w:rPr>
          <w:rFonts w:ascii="Arial" w:cs="Arial" w:eastAsia="Arial" w:hAnsi="Arial"/>
          <w:sz w:val="24"/>
          <w:szCs w:val="24"/>
        </w:rPr>
        <w:t xml:space="preserve">18. Статью 46 проекта конституционного Закона считаем необходимым исключить, так как медицинское страхование жизни и здоровья служащих Счетной палаты в период прохождения службы осуществляется через обязательное медицинское страхование.</w:t>
      </w:r>
    </w:p>
    <w:p>
      <w:pPr>
        <w:spacing w:after="60"/>
        <w:ind w:firstLine="567"/>
        <w:jc w:val="both"/>
      </w:pPr>
      <w:r>
        <w:rPr>
          <w:rFonts w:ascii="Arial" w:cs="Arial" w:eastAsia="Arial" w:hAnsi="Arial"/>
          <w:sz w:val="24"/>
          <w:szCs w:val="24"/>
        </w:rPr>
        <w:t xml:space="preserve">19. Часть 2 статьи 49 проекта конституционного Закона считаем необходимым исключить, так как согласно </w:t>
      </w:r>
      <w:hyperlink w:history="1" r:id="rIdsewclxxfmwhkndktcftrp">
        <w:r>
          <w:rPr>
            <w:rFonts w:ascii="Arial" w:cs="Arial" w:eastAsia="Arial" w:hAnsi="Arial"/>
            <w:color w:val="1D4ED8"/>
            <w:sz w:val="24"/>
            <w:szCs w:val="24"/>
            <w:u w:val="single"/>
          </w:rPr>
          <w:t xml:space="preserve">статье 115</w:t>
        </w:r>
      </w:hyperlink>
      <w:r>
        <w:rPr>
          <w:rFonts w:ascii="Arial" w:cs="Arial" w:eastAsia="Arial" w:hAnsi="Arial"/>
          <w:sz w:val="24"/>
          <w:szCs w:val="24"/>
        </w:rPr>
        <w:t xml:space="preserve"> Бюджетного кодекса Кыргызской Республики при необходимости изменения бюджетных параметров, утвержденных законом о республиканском бюджете, до принятия соответствующих поправок к нему, могут исполняться по согласованию с профильным комитетом Жогорку Кенеша, в ведение которого входят вопросы бюджетного законодательства.</w:t>
      </w:r>
    </w:p>
    <w:p>
      <w:pPr>
        <w:spacing w:after="60"/>
        <w:ind w:firstLine="567"/>
        <w:jc w:val="both"/>
      </w:pPr>
      <w:r>
        <w:rPr>
          <w:rFonts w:ascii="Arial" w:cs="Arial" w:eastAsia="Arial" w:hAnsi="Arial"/>
          <w:sz w:val="24"/>
          <w:szCs w:val="24"/>
        </w:rPr>
        <w:t xml:space="preserve">20. В части 3 статьи 49 проекта конституционного Закона предлагаем цифры "30" заменить цифрами "15", так как увеличение размера фонда до 30 процентов от суммы расходов на содержание Счетной палаты повлечет за собой повышение расходов из республиканского бюджета, что в настоящее время в связи с тяжелым экономическим положением республики, связанным с необходимостью выплаты государственного долга, сокращения дефицита бюджета, с продолжающейся серьезной обстановкой в республике связанной с COVID-19, является нецелесообразным.</w:t>
      </w:r>
    </w:p>
    <w:p>
      <w:pPr>
        <w:spacing w:after="60"/>
        <w:ind w:firstLine="567"/>
        <w:jc w:val="both"/>
      </w:pPr>
      <w:r>
        <w:rPr>
          <w:rFonts w:ascii="Arial" w:cs="Arial" w:eastAsia="Arial" w:hAnsi="Arial"/>
          <w:sz w:val="24"/>
          <w:szCs w:val="24"/>
        </w:rPr>
        <w:t xml:space="preserve">21. Согласно абзацу второму статьи 52 проекта конституционного Закона, отбор независимого аудитора осуществляется на конкурсной основе в соответствии с законодательством о государственных закупках и утверждается Жогорку Кенешем Кыргызской Республики по представлению Счетной палаты.</w:t>
      </w:r>
    </w:p>
    <w:p>
      <w:pPr>
        <w:spacing w:after="60"/>
        <w:ind w:firstLine="567"/>
        <w:jc w:val="both"/>
      </w:pPr>
      <w:r>
        <w:rPr>
          <w:rFonts w:ascii="Arial" w:cs="Arial" w:eastAsia="Arial" w:hAnsi="Arial"/>
          <w:sz w:val="24"/>
          <w:szCs w:val="24"/>
        </w:rPr>
        <w:t xml:space="preserve">В соответствии со </w:t>
      </w:r>
      <w:hyperlink w:history="1" r:id="rIdygtwur4xtjityl1fnt6re">
        <w:r>
          <w:rPr>
            <w:rFonts w:ascii="Arial" w:cs="Arial" w:eastAsia="Arial" w:hAnsi="Arial"/>
            <w:color w:val="1D4ED8"/>
            <w:sz w:val="24"/>
            <w:szCs w:val="24"/>
            <w:u w:val="single"/>
          </w:rPr>
          <w:t xml:space="preserve">статьей 3</w:t>
        </w:r>
      </w:hyperlink>
      <w:r>
        <w:rPr>
          <w:rFonts w:ascii="Arial" w:cs="Arial" w:eastAsia="Arial" w:hAnsi="Arial"/>
          <w:sz w:val="24"/>
          <w:szCs w:val="24"/>
        </w:rPr>
        <w:t xml:space="preserve"> Закона Кыргызской Республики "О государственных закупках" государственные закупки - приобретение закупающей организацией товаров, работ, услуг и консультационных услуг методами, установленными данным Законом, финансируемое полностью или частично за счет государственных средств.</w:t>
      </w:r>
    </w:p>
    <w:p>
      <w:pPr>
        <w:spacing w:after="60"/>
        <w:ind w:firstLine="567"/>
        <w:jc w:val="both"/>
      </w:pPr>
      <w:r>
        <w:rPr>
          <w:rFonts w:ascii="Arial" w:cs="Arial" w:eastAsia="Arial" w:hAnsi="Arial"/>
          <w:sz w:val="24"/>
          <w:szCs w:val="24"/>
        </w:rPr>
        <w:t xml:space="preserve">В связи с чем в абзаце втором статьи 52 проекта конституционного Закона предлагаем слова "на конкурсной основе" исключить.</w:t>
      </w:r>
    </w:p>
    <w:p>
      <w:pPr>
        <w:spacing w:after="60"/>
        <w:ind w:firstLine="567"/>
        <w:jc w:val="both"/>
      </w:pPr>
      <w:r>
        <w:rPr>
          <w:rFonts w:ascii="Arial" w:cs="Arial" w:eastAsia="Arial" w:hAnsi="Arial"/>
          <w:sz w:val="24"/>
          <w:szCs w:val="24"/>
        </w:rPr>
        <w:t xml:space="preserve">22. Частью 3 статьи 53 проекта конституционного Закона предлагается поручить Кабинету Министров Кыргызской Республики в трехмесячный срок со дня вступления в силу конституционного Закона:</w:t>
      </w:r>
    </w:p>
    <w:p>
      <w:pPr>
        <w:spacing w:after="60"/>
        <w:ind w:firstLine="567"/>
        <w:jc w:val="both"/>
      </w:pPr>
      <w:r>
        <w:rPr>
          <w:rFonts w:ascii="Arial" w:cs="Arial" w:eastAsia="Arial" w:hAnsi="Arial"/>
          <w:sz w:val="24"/>
          <w:szCs w:val="24"/>
        </w:rPr>
        <w:t xml:space="preserve">1) подготовить и внести в установленном порядке в Жогорку Кенеш Кыргызской Республики предложения по приведению законодательных актов в соответствие с данным конституционным Законом;</w:t>
      </w:r>
    </w:p>
    <w:p>
      <w:pPr>
        <w:spacing w:after="60"/>
        <w:ind w:firstLine="567"/>
        <w:jc w:val="both"/>
      </w:pPr>
      <w:r>
        <w:rPr>
          <w:rFonts w:ascii="Arial" w:cs="Arial" w:eastAsia="Arial" w:hAnsi="Arial"/>
          <w:sz w:val="24"/>
          <w:szCs w:val="24"/>
        </w:rPr>
        <w:t xml:space="preserve">2) принять нормативные правовые акты, обеспечивающие реализацию конституционного Закона.</w:t>
      </w:r>
    </w:p>
    <w:p>
      <w:pPr>
        <w:spacing w:after="60"/>
        <w:ind w:firstLine="567"/>
        <w:jc w:val="both"/>
      </w:pPr>
      <w:r>
        <w:rPr>
          <w:rFonts w:ascii="Arial" w:cs="Arial" w:eastAsia="Arial" w:hAnsi="Arial"/>
          <w:sz w:val="24"/>
          <w:szCs w:val="24"/>
        </w:rPr>
        <w:t xml:space="preserve">Однако частью 1 вышеуказанной статьи законопроекта предлагается установить, что Закон вступит в силу со дня его официального опубликования.</w:t>
      </w:r>
    </w:p>
    <w:p>
      <w:pPr>
        <w:spacing w:after="60"/>
        <w:ind w:firstLine="567"/>
        <w:jc w:val="both"/>
      </w:pPr>
      <w:r>
        <w:rPr>
          <w:rFonts w:ascii="Arial" w:cs="Arial" w:eastAsia="Arial" w:hAnsi="Arial"/>
          <w:sz w:val="24"/>
          <w:szCs w:val="24"/>
        </w:rPr>
        <w:t xml:space="preserve">В соответствии со </w:t>
      </w:r>
      <w:hyperlink w:history="1" r:id="rIdoaahwbfiwldyls79yrjn6">
        <w:r>
          <w:rPr>
            <w:rFonts w:ascii="Arial" w:cs="Arial" w:eastAsia="Arial" w:hAnsi="Arial"/>
            <w:color w:val="1D4ED8"/>
            <w:sz w:val="24"/>
            <w:szCs w:val="24"/>
            <w:u w:val="single"/>
          </w:rPr>
          <w:t xml:space="preserve">статьей 24</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в случаях,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60"/>
        <w:ind w:firstLine="567"/>
        <w:jc w:val="both"/>
      </w:pPr>
      <w:r>
        <w:rPr>
          <w:rFonts w:ascii="Arial" w:cs="Arial" w:eastAsia="Arial" w:hAnsi="Arial"/>
          <w:sz w:val="24"/>
          <w:szCs w:val="24"/>
        </w:rPr>
        <w:t xml:space="preserve">Вместе с тем, информация о нормативных правовых актах Кабинета Министров Кыргызской Республики, подлежащих пересмотру в случае принятия рассматриваемого проекта конституционного Закона, не отражена в справке-обосновании к законопроекту.</w:t>
      </w:r>
    </w:p>
    <w:p>
      <w:pPr>
        <w:spacing w:after="60"/>
        <w:ind w:firstLine="567"/>
        <w:jc w:val="both"/>
      </w:pPr>
      <w:r>
        <w:rPr>
          <w:rFonts w:ascii="Arial" w:cs="Arial" w:eastAsia="Arial" w:hAnsi="Arial"/>
          <w:sz w:val="24"/>
          <w:szCs w:val="24"/>
        </w:rPr>
        <w:t xml:space="preserve">В связи с этим следует пересмотреть сроки вступления в силу законопроекта в целях устранения правового вакуума между Законом и подзаконными актами.</w:t>
      </w:r>
    </w:p>
    <w:p>
      <w:pPr>
        <w:spacing w:after="60"/>
        <w:ind w:firstLine="567"/>
        <w:jc w:val="both"/>
      </w:pPr>
      <w:r>
        <w:rPr>
          <w:rFonts w:ascii="Arial" w:cs="Arial" w:eastAsia="Arial" w:hAnsi="Arial"/>
          <w:sz w:val="24"/>
          <w:szCs w:val="24"/>
        </w:rPr>
        <w:t xml:space="preserve">23. Частью 4 статьи 53 проекта конституционного Закона предлагается поручить Счетной палате в трехмесячный срок со дня вступления в силу конституционного Закона организовать работу по кадровым вопросам о занимаемой должности сотрудников в соответствии с квалификационными требованиями данного конституционного Закона.</w:t>
      </w:r>
    </w:p>
    <w:p>
      <w:pPr>
        <w:spacing w:after="60"/>
        <w:ind w:firstLine="567"/>
        <w:jc w:val="both"/>
      </w:pPr>
      <w:r>
        <w:rPr>
          <w:rFonts w:ascii="Arial" w:cs="Arial" w:eastAsia="Arial" w:hAnsi="Arial"/>
          <w:sz w:val="24"/>
          <w:szCs w:val="24"/>
        </w:rPr>
        <w:t xml:space="preserve">При этом, законопроектом квалификационные требования устанавливаются к аудиторам Счетной палаты, в части увеличения сроков профессиональной деятельности с 7 до 9 лет. Также, сокращается количество аудиторов с 9 до 3 аудиторов.</w:t>
      </w:r>
    </w:p>
    <w:p>
      <w:pPr>
        <w:spacing w:after="60"/>
        <w:ind w:firstLine="567"/>
        <w:jc w:val="both"/>
      </w:pPr>
      <w:r>
        <w:rPr>
          <w:rFonts w:ascii="Arial" w:cs="Arial" w:eastAsia="Arial" w:hAnsi="Arial"/>
          <w:sz w:val="24"/>
          <w:szCs w:val="24"/>
        </w:rPr>
        <w:t xml:space="preserve">Вместе с тем, в законопроекте не установлены нормы относительно выплаты выходных пособий либо компенсаций. Ввиду чего предлагаем проработать данный вопрос.</w:t>
      </w:r>
    </w:p>
    <w:p>
      <w:pPr>
        <w:spacing w:after="60"/>
        <w:ind w:firstLine="567"/>
        <w:jc w:val="both"/>
      </w:pPr>
      <w:r>
        <w:rPr>
          <w:rFonts w:ascii="Arial" w:cs="Arial" w:eastAsia="Arial" w:hAnsi="Arial"/>
          <w:sz w:val="24"/>
          <w:szCs w:val="24"/>
        </w:rPr>
        <w:t xml:space="preserve">24. Частью 5 статьи 53 проекта конституционного Закона Счетной палате поручается в трехмесячный срок со дня вступления в силу конституционного Закона привести свои нормативные акты в соответствие с конституционным Законом.</w:t>
      </w:r>
    </w:p>
    <w:p>
      <w:pPr>
        <w:spacing w:after="60"/>
        <w:ind w:firstLine="567"/>
        <w:jc w:val="both"/>
      </w:pPr>
      <w:r>
        <w:rPr>
          <w:rFonts w:ascii="Arial" w:cs="Arial" w:eastAsia="Arial" w:hAnsi="Arial"/>
          <w:sz w:val="24"/>
          <w:szCs w:val="24"/>
        </w:rPr>
        <w:t xml:space="preserve">Перечень нормотворческих субъектов установлен </w:t>
      </w:r>
      <w:hyperlink w:history="1" r:id="rIdq3mdm38obpkdiwwpw3mlx">
        <w:r>
          <w:rPr>
            <w:rFonts w:ascii="Arial" w:cs="Arial" w:eastAsia="Arial" w:hAnsi="Arial"/>
            <w:color w:val="1D4ED8"/>
            <w:sz w:val="24"/>
            <w:szCs w:val="24"/>
            <w:u w:val="single"/>
          </w:rPr>
          <w:t xml:space="preserve">статьей 5</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в число которых Счетная палата не входит. Ввиду чего в части 5 статьи 53 проекта слово "нормативные" предлагаем исключить.</w:t>
      </w:r>
    </w:p>
    <w:p>
      <w:pPr>
        <w:spacing w:after="60"/>
        <w:ind w:firstLine="567"/>
        <w:jc w:val="both"/>
      </w:pPr>
      <w:r>
        <w:rPr>
          <w:rFonts w:ascii="Arial" w:cs="Arial" w:eastAsia="Arial" w:hAnsi="Arial"/>
          <w:sz w:val="24"/>
          <w:szCs w:val="24"/>
        </w:rPr>
        <w:t xml:space="preserve">25. В целом предлагаем текст проекта конституционного Закона привести в соответствие с </w:t>
      </w:r>
      <w:hyperlink w:history="1" r:id="rIdwipltrgdzogjzuyg9s4if">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по законодательной технике, утвержденной </w:t>
      </w:r>
      <w:hyperlink w:history="1" r:id="rIdaixxfc-ck19fhgcvbgum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w:t>
      </w:r>
    </w:p>
    <w:p>
      <w:pPr>
        <w:spacing w:after="60"/>
        <w:ind w:firstLine="567"/>
        <w:jc w:val="both"/>
      </w:pPr>
      <w:r>
        <w:rPr>
          <w:rFonts w:ascii="Arial" w:cs="Arial" w:eastAsia="Arial" w:hAnsi="Arial"/>
          <w:sz w:val="24"/>
          <w:szCs w:val="24"/>
        </w:rPr>
        <w:t xml:space="preserve">26. Положительной стороной проекта конституционного Закона следует отметить то, что в законопроекте не предусмотрена функция Счетной палаты по проведению аудита по запросу правоохранительных органов, в том числе в отношении субъектов предпринимательства. Так, </w:t>
      </w:r>
      <w:hyperlink w:history="1" r:id="rIdef5or9ee9qfmbqbt5_bi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(в </w:t>
      </w:r>
      <w:hyperlink w:history="1" r:id="rIdevmgdpum3cz_yrf8lp1z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Счетной палате Кыргызской Республики", Бюджетный </w:t>
      </w:r>
      <w:hyperlink w:history="1" r:id="rId4ff24hmp16lj45e44lqw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12 августа 2020 года № 124 исключены полномочия Счетной палаты по проведению аудита по запросу правоохранительных органов. Указанные поправки приняты на основании рекомендации Комитета по развитию промышленности и предпринимательства Кыргызской Республики при Национальном совете по устойчивому развитию Кыргызской Республики от 12 февраля 2020 года № 1, по предложению представителей бизнес-сообщества Кыргызской Республики (протокол заседания Комитета от 12 февраля 2020 года № 1).</w:t>
      </w:r>
    </w:p>
    <w:p>
      <w:pPr>
        <w:spacing w:after="60"/>
        <w:ind w:firstLine="567"/>
        <w:jc w:val="both"/>
      </w:pPr>
      <w:r>
        <w:rPr>
          <w:rFonts w:ascii="Arial" w:cs="Arial" w:eastAsia="Arial" w:hAnsi="Arial"/>
          <w:sz w:val="24"/>
          <w:szCs w:val="24"/>
        </w:rPr>
        <w:t xml:space="preserve">На основании вышеизложенного Кабинет Министров Кыргызской Республики считает возможным принятие вышеуказанного законопроекта с учетом замечаний и предложений, изложенных в настоящем Заключении.</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k2elg3u1df8uahlshsjz">
      <w:r>
        <w:rPr>
          <w:rFonts w:ascii="Arial" w:cs="Arial" w:eastAsia="Arial" w:hAnsi="Arial"/>
          <w:color w:val="132D3F"/>
          <w:sz w:val="16"/>
          <w:szCs w:val="16"/>
          <w:u w:val="single"/>
        </w:rPr>
        <w:t xml:space="preserve">dalil.kg/document/158464</w:t>
      </w:r>
    </w:hyperlink>
  </w:p>
  <w:p>
    <w:pPr>
      <w:spacing w:after="0" w:before="40"/>
      <w:jc w:val="center"/>
    </w:pPr>
    <w:hyperlink w:history="1" r:id="rIdop5bob0x6yrafrgk3twu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do-wvynzqbe_zvnbdcjv" Type="http://schemas.openxmlformats.org/officeDocument/2006/relationships/hyperlink" Target="https://dalil.kg/document/203685#st_31" TargetMode="External"/><Relationship Id="rIdnciqx_g06gmbu3iepqhuw" Type="http://schemas.openxmlformats.org/officeDocument/2006/relationships/hyperlink" Target="https://dalil.kg/document/158464#pr1" TargetMode="External"/><Relationship Id="rIdxxmvnxzpvsdsmc3iff74c" Type="http://schemas.openxmlformats.org/officeDocument/2006/relationships/hyperlink" Target="https://dalil.kg/document/203685#st_31" TargetMode="External"/><Relationship Id="rIdqhkw4ffjzjwixwcpw2yfp" Type="http://schemas.openxmlformats.org/officeDocument/2006/relationships/hyperlink" Target="https://dalil.kg/document/112213" TargetMode="External"/><Relationship Id="rIdgvvo7xbufsi-j-nbavf0c" Type="http://schemas.openxmlformats.org/officeDocument/2006/relationships/hyperlink" Target="https://dalil.kg/document/202591#st_12" TargetMode="External"/><Relationship Id="rId8trnhfjirnwulpehdv9yp" Type="http://schemas.openxmlformats.org/officeDocument/2006/relationships/hyperlink" Target="https://dalil.kg/document/112213#st_30" TargetMode="External"/><Relationship Id="rIdqmclkvirydyvukr5qaytu" Type="http://schemas.openxmlformats.org/officeDocument/2006/relationships/hyperlink" Target="https://dalil.kg/document/111530#st_14" TargetMode="External"/><Relationship Id="rIdlcixv0juzdi227qrpmsei" Type="http://schemas.openxmlformats.org/officeDocument/2006/relationships/hyperlink" Target="https://dalil.kg/document/111530" TargetMode="External"/><Relationship Id="rIdm9dmgbwcbblfef0tgbm8h" Type="http://schemas.openxmlformats.org/officeDocument/2006/relationships/hyperlink" Target="https://dalil.kg/document/112213#st_30" TargetMode="External"/><Relationship Id="rIdy6xeclbs5x5c-41uwtymu" Type="http://schemas.openxmlformats.org/officeDocument/2006/relationships/hyperlink" Target="https://dalil.kg/document/111530#st_14" TargetMode="External"/><Relationship Id="rIdb_p8z6yohxq-dn1sw6rpr" Type="http://schemas.openxmlformats.org/officeDocument/2006/relationships/hyperlink" Target="https://dalil.kg/document/202591#st_11" TargetMode="External"/><Relationship Id="rIdeumwwkxo5db3wbbqcmpuy" Type="http://schemas.openxmlformats.org/officeDocument/2006/relationships/hyperlink" Target="https://dalil.kg/document/218513" TargetMode="External"/><Relationship Id="rIdyqsyihebpr__bnwvvz6ff" Type="http://schemas.openxmlformats.org/officeDocument/2006/relationships/hyperlink" Target="https://dalil.kg/document/218513" TargetMode="External"/><Relationship Id="rIddjb39u5zw3p21szjjrcld" Type="http://schemas.openxmlformats.org/officeDocument/2006/relationships/hyperlink" Target="https://dalil.kg/document/205286#st_11" TargetMode="External"/><Relationship Id="rIdh6jhogopdrmone_iymgao" Type="http://schemas.openxmlformats.org/officeDocument/2006/relationships/hyperlink" Target="https://dalil.kg/document/4#st_80" TargetMode="External"/><Relationship Id="rIdi2nsa3qjgoze8ka-dt-kt" Type="http://schemas.openxmlformats.org/officeDocument/2006/relationships/hyperlink" Target="https://dalil.kg/document/111530" TargetMode="External"/><Relationship Id="rIdjzg2iqmfdc7v1gsbca46x" Type="http://schemas.openxmlformats.org/officeDocument/2006/relationships/hyperlink" Target="https://dalil.kg/document/111530#st_136" TargetMode="External"/><Relationship Id="rIdcfpala7frhg0gvzlboicm" Type="http://schemas.openxmlformats.org/officeDocument/2006/relationships/hyperlink" Target="https://dalil.kg/document/6" TargetMode="External"/><Relationship Id="rIdcgfiibdwskqhl3pmkunc3" Type="http://schemas.openxmlformats.org/officeDocument/2006/relationships/hyperlink" Target="https://dalil.kg/document/111565" TargetMode="External"/><Relationship Id="rIdk0csa0po7donufkgxp-sw" Type="http://schemas.openxmlformats.org/officeDocument/2006/relationships/hyperlink" Target="https://dalil.kg/document/111354" TargetMode="External"/><Relationship Id="rIdxpesgw0xafrr7dlyi4dkg" Type="http://schemas.openxmlformats.org/officeDocument/2006/relationships/hyperlink" Target="https://dalil.kg/document/112213#st_85" TargetMode="External"/><Relationship Id="rIdykxwqn_x55mf64opagvh8" Type="http://schemas.openxmlformats.org/officeDocument/2006/relationships/hyperlink" Target="https://dalil.kg/document/112213#st_85" TargetMode="External"/><Relationship Id="rIdsewclxxfmwhkndktcftrp" Type="http://schemas.openxmlformats.org/officeDocument/2006/relationships/hyperlink" Target="https://dalil.kg/document/111338#st_115" TargetMode="External"/><Relationship Id="rIdygtwur4xtjityl1fnt6re" Type="http://schemas.openxmlformats.org/officeDocument/2006/relationships/hyperlink" Target="https://dalil.kg/document/111125#st_3" TargetMode="External"/><Relationship Id="rIdoaahwbfiwldyls79yrjn6" Type="http://schemas.openxmlformats.org/officeDocument/2006/relationships/hyperlink" Target="https://dalil.kg/document/202591#st_24" TargetMode="External"/><Relationship Id="rIdq3mdm38obpkdiwwpw3mlx" Type="http://schemas.openxmlformats.org/officeDocument/2006/relationships/hyperlink" Target="https://dalil.kg/document/202591#st_5" TargetMode="External"/><Relationship Id="rIdwipltrgdzogjzuyg9s4if" Type="http://schemas.openxmlformats.org/officeDocument/2006/relationships/hyperlink" Target="https://dalil.kg/document/76491" TargetMode="External"/><Relationship Id="rIdaixxfc-ck19fhgcvbgumc" Type="http://schemas.openxmlformats.org/officeDocument/2006/relationships/hyperlink" Target="https://dalil.kg/document/76490" TargetMode="External"/><Relationship Id="rIdef5or9ee9qfmbqbt5_bil" Type="http://schemas.openxmlformats.org/officeDocument/2006/relationships/hyperlink" Target="https://dalil.kg/document/112101" TargetMode="External"/><Relationship Id="rIdevmgdpum3cz_yrf8lp1zp" Type="http://schemas.openxmlformats.org/officeDocument/2006/relationships/hyperlink" Target="https://dalil.kg/document/1516" TargetMode="External"/><Relationship Id="rId4ff24hmp16lj45e44lqws" Type="http://schemas.openxmlformats.org/officeDocument/2006/relationships/hyperlink" Target="https://dalil.kg/document/111338" TargetMode="External"/><Relationship Id="rId8" Type="http://schemas.openxmlformats.org/officeDocument/2006/relationships/image" Target="media/8de64316e95979c063c17bcd5380dc052a2594e9.png"/><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k2elg3u1df8uahlshsjz" Type="http://schemas.openxmlformats.org/officeDocument/2006/relationships/hyperlink" Target="https://dalil.kg/document/158464" TargetMode="External"/><Relationship Id="rIdop5bob0x6yrafrgk3twu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2026-09-29T13:48:15.464Z</dcterms:created>
  <dcterms:modified xsi:type="dcterms:W3CDTF">2026-09-29T13:48:15.464Z</dcterms:modified>
</cp:coreProperties>
</file>

<file path=docProps/custom.xml><?xml version="1.0" encoding="utf-8"?>
<Properties xmlns="http://schemas.openxmlformats.org/officeDocument/2006/custom-properties" xmlns:vt="http://schemas.openxmlformats.org/officeDocument/2006/docPropsVTypes"/>
</file>