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постановлению Кабинета Министров КР от </w:t>
      </w:r>
      <w:hyperlink w:history="1" r:id="rId-qrfiuietiaa3wnk7h-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2021 года №71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распределения ввозимого сахара белого и тростникового сахара-сырца на территорию Кыргызской Республики с применением временной тарифной льготы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sypudin69fw55vafbb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и условия распределения объема ввоза сахара белого, классифицируемого кодом 1701 99 100 ТН ВЭД ЕАЭС, предназначенного исключительно для реализации на внутреннем рынке или для производства сахаросодержащей продукции, и тростникового сахара-сырца без вкусо-ароматических или красящих добавок (далее - сахар-сырец), классифицируемого кодами 1701 13, 1701 14 ТН ВЭД ЕАЭС, для промышленной переработки на территории Кыргызской Республики, с применением тарифных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Правилах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предприятие-производитель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зарегистрированное в качестве индивидуального предпринимателя в соответствии с законодательством Кыргызской Республики, регулирующим предпринимательскую деятельность, и соответствующее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предприятия технологического оборудования, необходимого для производства сахаросодержащей продукции, переработки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серийного производства сахаросодержащей продукции, белого сахара из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сахара белого, сахара-сырца (далее - поставщик)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зарегистрированное в качестве индивидуального предпринимателя в соответствии с законодательством Кыргызской Республики, регулирующим предпринимательскую деятельность, имеющее контракт с предприятием-производителем на поставку сахара белого, сахара-сырца, а также опыт поставки сельскохозяйственной и/или продовольственной продукции, подтвержденный соответствующими налоговыми отчислениями и таможенными платежами;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объем ввоза – </w:t>
      </w:r>
      <w:r>
        <w:rPr>
          <w:rFonts w:ascii="Arial" w:cs="Arial" w:eastAsia="Arial" w:hAnsi="Arial"/>
          <w:sz w:val="24"/>
          <w:szCs w:val="24"/>
        </w:rPr>
        <w:t xml:space="preserve">фиксированный объем сахара белого, тростникового сахара-сырца, который может быть ввезен в Кыргызскую Республику в соответствии с Решением Совета Евразийской экономической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тарифная льгота</w:t>
      </w:r>
      <w:r>
        <w:rPr>
          <w:rFonts w:ascii="Arial" w:cs="Arial" w:eastAsia="Arial" w:hAnsi="Arial"/>
          <w:sz w:val="24"/>
          <w:szCs w:val="24"/>
        </w:rPr>
        <w:t xml:space="preserve"> - пониженная ставка ввозной таможенной пошлины либо освобождение от уплаты ввозной таможенной пошлины, предусмотренная Единым таможенным тарифом Евразийского экономического союза, применяемая в регулировании внешней торговли с третьими странами.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dujoigm50e2yzb3xfz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 условия распределения объема ввоза сахара белого и сахара-сырца с применением тарифной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области развития агропромышленного комплекса (далее - уполномоченный орган):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Перечень предприятий-производителей, поставщиков, имеющих контракты с третьими странами на ввоз сахара белого и сахара-сырца на территорию Кыргызской Республики, с применением тарифной льготы и распределенного объема ввоза (далее - Перечень);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объем ввоза сахара белого и сахара-сырца с применением тарифной льготы;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отдельных случаях (остаток, отказ от объема ввоза, непредоставление документов, подтверждающих факт оплаты или отгрузки товара со дня включения юридического лица в Перечень) перераспределяет объем ввоза сахара белого и сахара-сырца с применением тарифной льготы;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выдает подтверждение о целевом использовании сахара белого и сахара-сырца, ввезенного с применением тарифной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Таможенные операции, связанные с помещением под таможенную процедуру сахара белого и сахара-сырца, ввозимого на территорию Кыргызской Республики с освобождением от уплаты ввозных таможенных пошлин, производятся таможенными органами только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ввоз осуществляется предприятием-производителем, включенным в Перечень, формируемый уполномоченным органом, начиная со дня опубликования объявления на официальном сайте уполномоченного органа до завершения срока действия временной тарифной льготы, установленной Решением Евразийской экономической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предъявление лицом, являющимся декларантом сахара белого и сахара-сырца, письменного обязательства о целевом использовании данных товаров только в пределах территории Кыргызской Республики и невывозе таких товаров на территорию других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копии заключения уполномоченного органа о распределенном объеме ввоза сахара белого и сахара-сырца с применением тарифной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n8zeu9oaeswukwoyu_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Метод распределения объема ввоза сахара белого и сахара-сырца с применением тарифной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осуществляет распределение объема сахара белого и сахара-сырца между: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импортерами сахара белого;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предприятиями-производителями сахаросодержащей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предприятиями-производителями сахара белого.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Заявки о выделении объема ввоза принимаются и формируются за 15 дней до завершения срока действия временной тарифной льготы, установленной Решением Евразийской экономической комиссии, начиная со дня опубликования объявления на официальном сайте уполномоченного органа о начале приема заявок, по форме согласно приложению 1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устава, свидетельства о государственной регистрации юридического лица либо свидетельства о государственной регистрации индивидуального предпринимателя (физического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 на поставку сахара белого, сахара-сырца;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оплату по контракту или отгрузку товара по контракту;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декларации о соответствии продукции требованиям технического регламента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о целевом использовании ввозимого сахара белого и сахара-сырца по форме согласно </w:t>
      </w:r>
      <w:hyperlink w:history="1" r:id="rId8cxgco6blrooktrlkt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подачи документов через представителя - доверенность, копия паспорта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Распределение объема ввоза сахара белого и сахара-сырца между поставщиками осуществляется в порядке очередности подачи заявок поставщиками о выделении объема ввоза, с учетом остатка и запрашиваемого заявителем объема.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Заявки рассматриваются уполномоченным органом в течение 5 рабочих дней. По итогам рассмотрения заявки выдается заключение о распределении объема ввоза по тарифной льготе или отказе в распределении.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Заключение об отказе в распределении объема ввоза сахара белого и сахара-сырца выдается в случае отсутствия документов в соответствии с пунктом 6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Объем ввоза сахара белого и сахара-сырца с применением тарифной льготы распределяется до его исчерпания.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на официальном сайте публикует Перечень и сведения о не распределенном объеме сахара белого и сахара-сырца, подлежащем ввозу с применением тарифной льготы, по форме согласно </w:t>
      </w:r>
      <w:hyperlink w:history="1" r:id="rId-piyq9jjcg_f5nyhe7b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который обновляется на ежедневной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Правилам распределения ввозимого сахара белого и тростникового сахара-сырца на территорию Кыргызской Республики с применением временной тарифной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распределения ввозимого сахара белого и тростникового сахара-сырца на территорию Кыргызской Республики с применением временной тарифной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
 о целевом использовании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распределения ввозимого сахара белого и тростникового сахара-сырца на территорию Кыргызской Республики с применением временной тарифной льготы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предприятий-производителей, поставщиков, имеющих контракты с третьими странами на ввоз сахара белого и тростникового сахара-сырца на территорию Кыргызской Республики, с применением тарифной льготы и распределенного объема ввоза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1"/>
        <w:gridCol w:w="1679"/>
        <w:gridCol w:w="869"/>
        <w:gridCol w:w="1386"/>
        <w:gridCol w:w="782"/>
        <w:gridCol w:w="782"/>
        <w:gridCol w:w="782"/>
        <w:gridCol w:w="782"/>
        <w:gridCol w:w="1309"/>
        <w:gridCol w:w="1427"/>
      </w:tblGrid>
      <w:tr>
        <w:tc>
          <w:tcPr>
            <w:tcW w:type="dxa" w:w="3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субъекта</w:t>
            </w:r>
          </w:p>
        </w:tc>
        <w:tc>
          <w:tcPr>
            <w:tcW w:type="dxa" w:w="8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товара</w:t>
            </w:r>
          </w:p>
        </w:tc>
        <w:tc>
          <w:tcPr>
            <w:tcW w:type="dxa" w:w="13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принятия решения</w:t>
            </w:r>
          </w:p>
        </w:tc>
        <w:tc>
          <w:tcPr>
            <w:tcW w:type="dxa" w:w="3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ввоза</w:t>
            </w:r>
          </w:p>
        </w:tc>
        <w:tc>
          <w:tcPr>
            <w:tcW w:type="dxa" w:w="13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</w:t>
            </w:r>
          </w:p>
        </w:tc>
        <w:tc>
          <w:tcPr>
            <w:tcW w:type="dxa" w:w="14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тарифной льготы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белый</w:t>
            </w:r>
          </w:p>
        </w:tc>
        <w:tc>
          <w:tcPr>
            <w:tcW w:type="dxa" w:w="15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сахар-сырец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тонна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x-hfxemyaflxyjovq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dalil.kg/document/158545</w:t>
      </w:r>
    </w:hyperlink>
  </w:p>
  <w:p>
    <w:pPr>
      <w:spacing w:after="0" w:before="40"/>
      <w:jc w:val="center"/>
    </w:pPr>
    <w:hyperlink w:history="1" r:id="rIdo2z6d1p8uukcbgvvlxy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rfiuietiaa3wnk7h-mp" Type="http://schemas.openxmlformats.org/officeDocument/2006/relationships/hyperlink" Target="https://dalil.kg/document/158544" TargetMode="External"/><Relationship Id="rIdgsypudin69fw55vafbb7c" Type="http://schemas.openxmlformats.org/officeDocument/2006/relationships/hyperlink" Target="https://dalil.kg/document/159022" TargetMode="External"/><Relationship Id="rId6dujoigm50e2yzb3xfz1w" Type="http://schemas.openxmlformats.org/officeDocument/2006/relationships/hyperlink" Target="https://dalil.kg/document/159022" TargetMode="External"/><Relationship Id="rIdln8zeu9oaeswukwoyu_nk" Type="http://schemas.openxmlformats.org/officeDocument/2006/relationships/hyperlink" Target="https://dalil.kg/document/159022" TargetMode="External"/><Relationship Id="rId8cxgco6blrooktrlktalz" Type="http://schemas.openxmlformats.org/officeDocument/2006/relationships/hyperlink" Target="https://dalil.kg/document/158544#pr2" TargetMode="External"/><Relationship Id="rId-piyq9jjcg_f5nyhe7buc" Type="http://schemas.openxmlformats.org/officeDocument/2006/relationships/hyperlink" Target="https://dalil.kg/document/158544#pr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x-hfxemyaflxyjovqzd" Type="http://schemas.openxmlformats.org/officeDocument/2006/relationships/hyperlink" Target="https://dalil.kg/document/158545" TargetMode="External"/><Relationship Id="rIdo2z6d1p8uukcbgvvlxy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2026-09-29T07:34:08.621Z</dcterms:created>
  <dcterms:modified xsi:type="dcterms:W3CDTF">2026-09-29T07:34:08.621Z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