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xp8qfmgke3zdh1kekyaq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15 июля 2021 года № 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Методология
 разработки отраслевой рамки квалификаций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Государственный классификатор видов экономической деятельности Кыргызской Республики - составная часть Единой системы классификации и кодирования технико-экономической и социальной информации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Дескрипторы - описание в обобщенном виде результатов обучения для различных уровней квалификации. Система дескрипторов является инвариантной, то есть не привязанной к конкретному образовательному контексту, что облегчает сопоставление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Информальное обучение - обучение, осуществляемое в ходе повседневной жизнедеятельности человека, связанной с его работой, жизнью в семье или проведением досуга, не организованное и не структурированное в плане целей, продолжительности и помощи в обучении; может быть непреднамеренным с точки зрения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Неформальное обучение - обучение, осуществляемое в ходе спланированной деятельности, в плане целей, продолжительности и помощи в обучении, т.е. обучение, происходящее в ходе повседневных трудовых ситуаций, содержащих обучающий компонент, но не завершающееся выдачей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Знания - совокупность фактов, принципов, теорий и практик, которые связаны с областью работы или обучения. Знания описываются как теоретические и/или как фактологические и являются результатом усвоения информации через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Квалификация - признание освоенных знаний, умений и полученного опыта, необходимых для осуществления трудовой деятельности, подтвержденное установленными законодательством видами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Компетенция - способность применять знания, навыки и опыт в различной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Личностные компетенции - поведенческие действия, направленные на наиболее эффективное разрешение конкретной жизненной и/или профессиональной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Магистр - уровень квалификации высшего профессионального образования, дающий право для поступления в аспирантуру и (или) в базовую докторантуру (PhD/по профилю), и осуществления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Навыки - доведенная до автоматизма способность качественно выполнять трудовые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Национальная рамка квалификаций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квалификаций, являющееся основой для системы подтверждения соответствия и присвоения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Общереспубликанский классификатор занятий Кыргызской Республики - систематизированный перечень видов трудовой деятельности, позволяющий достигнуть единообразия их наименований, предназначен для проведения статистических обследований распределения населения по видам занятий, организации статистического учета в целях осуществления эффективной политики занятости, выполнения аналитических исследований и сопоставлений, в том числе международных.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Отраслевые/секторальные рамки квалификаций - системное и структурированное по уровням описание содержания квалификаций в определенной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Отрасль - группы близких по характеру предприятий и организаций, для которых характерна общность выпускаемой продукции, предоставляемых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Профессиональный стандарт - характеристика содержания трудовых функций и требований к квалификации работника, необходимой для 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Профессия - основной род занятий трудовой деятельности человека, требующий определенных знаний, умений и практических навыков, приобретенных в результате специальной подготовки и подтверждаемых соответствующими документами о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Результаты обучения - констатация того, что обучающийся знает, понимает и умеет делать по завершении обучения. Результаты обучения показывают индивидуальные достижения, знания и практические умения, приобретенные и продемонстрированные после успешного завершения отдельного курса, части образовательной программы/модуля или образовательной программы в целом. Результаты обучения содержат критерии оценки, отражают минимальные требования, предъявляемые к полученной степени. Результаты обучения следует отличать от задач и целей, так как они больше связаны с достижениями обучающихся, чем с задачами преподавателя. Результаты обучения каждого уровня квалификации отражены в национальной рамке квалификаций и являются основой для оценки и признания результатов, полученных через формальное, неформальное и информальное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Специалист - уровень квалификации высшего профессионального образования, дающий право для поступления в аспирантуру и (или) в базовую докторантуру (PhD/по профилю), и осуществления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Умение - способность применять приобретенные знания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Уровень квалификации установленная и описанная в квалификационных рамках совокупность требований к компетенциям работников. Уровень квалификации дифференцирован по параметрам знаний, умений, ответственности и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Формальное образование - образование, структурированное в плане целей, продолжительности и помощи в обучении и завершающееся выдачей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Методология разработки отраслевой рамки квалификаций разработана в целях реализации </w:t>
      </w:r>
      <w:r>
        <w:rPr>
          <w:rFonts w:ascii="Arial" w:cs="Arial" w:eastAsia="Arial" w:hAnsi="Arial"/>
          <w:sz w:val="22"/>
          <w:szCs w:val="22"/>
        </w:rPr>
        <w:t xml:space="preserve">Национальной стратегии</w:t>
      </w:r>
      <w:r>
        <w:rPr>
          <w:rFonts w:ascii="Arial" w:cs="Arial" w:eastAsia="Arial" w:hAnsi="Arial"/>
          <w:sz w:val="22"/>
          <w:szCs w:val="22"/>
        </w:rPr>
        <w:t xml:space="preserve"> развития Кыргызской Республики на 2018-2040 годы, утвержденной </w:t>
      </w:r>
      <w:hyperlink w:history="1" r:id="rIdajwmq6tnpnur3q-nwkmo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Президента Кыргызской Республики от 31 октября 2018 года № 221, </w:t>
      </w:r>
      <w:hyperlink w:history="1" r:id="rIdwxzflwtgsqig1tpr_l9u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образовании", </w:t>
      </w:r>
      <w:hyperlink w:history="1" r:id="rIds9vhrkvrclk91nbbuq0m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Концепци</w:t>
        </w:r>
      </w:hyperlink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Республике, утвержденной </w:t>
      </w:r>
      <w:hyperlink w:history="1" r:id="rIdtmgtymy_ypyfjdozrw40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30 сентября 2019 года № 505, </w:t>
      </w:r>
      <w:r>
        <w:rPr>
          <w:rFonts w:ascii="Arial" w:cs="Arial" w:eastAsia="Arial" w:hAnsi="Arial"/>
          <w:sz w:val="22"/>
          <w:szCs w:val="22"/>
        </w:rPr>
        <w:t xml:space="preserve">Плана</w:t>
      </w:r>
      <w:r>
        <w:rPr>
          <w:rFonts w:ascii="Arial" w:cs="Arial" w:eastAsia="Arial" w:hAnsi="Arial"/>
          <w:sz w:val="22"/>
          <w:szCs w:val="22"/>
        </w:rPr>
        <w:t xml:space="preserve"> мероприятий по реализации </w:t>
      </w:r>
      <w:hyperlink w:history="1" r:id="rIdekflp50zjw5oza7kmdpn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 на 2020-2021 годы утвержденного </w:t>
      </w:r>
      <w:hyperlink w:history="1" r:id="rIdgoyy6cjy0fhpmtxae5j2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16 марта 2020 года № 79-р, и устанавливает порядок разработки, экспертной оценки и введения в действие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Методология разработки отраслевой рамки квалификаций содержит термины и определения, механизмы разработки отраслевой рамки квалификаций, критерии ее оценки и механизмы утверждения, а также требования к ее оформлению в соответствии с макетом отраслевой рамки квалификаций. Пример заполнения отраслевой рамки квалификаций приведен в </w:t>
      </w:r>
      <w:hyperlink w:history="1" r:id="rIdksw9xuokwewf4vms9ozg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Отраслевая рамка квалификаций является одним из элементов национальной системы квалификаций в Кыргызской Республике. Цель отраслевой рамки квалификаций - соотнесение знаний, навыков и личностных компетенций работников и существующих квалификаций на основе национальной рамки квалификаций (далее - НРК), а также структурирование профессий и должностей в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Квалификационные уровни/подуровни, описанные в отраслевой рамке квалификаций, используются в профессиональном стандарте.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Пользователями отраслевой рамки квалификаций являются все заинтересованные лица (например, объединения работодателей/работников, органы сферы образования, организаций, отраслевых уполномоченных государственных органов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Отраслевая рамка квалификаций позволяет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уровни/подуровни квалификации в отрасли и их межотраслевые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дескрипторы уровней (знания, навыки и личностные компетенции);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пути достижения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требования к квалификации при ее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новые требования к развитию человеческих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организации работы над отраслевой рамкой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Уполномоченный государственный орган в сфере труда непосредственно координирует работу по разработке и продвижению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Заказчиком является сторона, заинтересованная в разработке отраслевой рамки квалификаций и дальнейшем ее продвижении. Заказчик определяет основные требования к отраслевой рамке квалификаций, обеспечивает финансирование проекта. Заказчиками могут быть отраслевые уполномоченные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Отраслевая рамка квалификаций разрабатывается отраслевыми советами, объединениями работодателей, которые вправе привлекать к своей работе специалистов, независимых экспертов и иных представителей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Организация работы над отраслевой рамкой квалификаций осуществляется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создание рабочей группы по разработке отраслевой рамки квалификаций с привлечением специалистов, экспертов и иных представителей соответствующей отрасли, обладающих знанием стратегии и приоритетов развития отрасли, специфики конкретных видов деятельности, предъявляемых к работникам требований к квалификации, программ и форм профессионального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проект отраслевой рамки квалификаций разрабатывается согласно порядку, предусмотренному разделом 5 настоящей Методологии, и макету отраслевой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разработанный проект отраслевой рамки квалификаций проходит процедуру общественного обсуждения в течение 30 дней (круглые столы, размещение на сайте разработчиков отраслевой рамки квалификаций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доработка проекта с учетом результатов обсуждения (при необходимости).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оценки отраслевой рамки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Проект отраслевой рамки квалификаций должен быть представлен разработчиками отраслевому уполномоченному государственному органу в электронной и бумажной версиях. Оценка отраслевой рамки квалификаций осуществляется экспертной группой, создаваемой при соответствующем отраслевом уполномоченном государственном органе. Порядок создания и регламент работы экспертной группы утверждаются приказом отраслевого уполномоченного государственного органа. В состав экспертной группы включаются представители отрасли, для которой предназначена отраслевая рамка квалификаций, и представители отраслевого профсоюза (при наличии). В качестве представителей отрасли могут выступать бизнес-ассоциации, в которых представлены предприятия отрасли и профессиональные объединения. В оценке отраслевой рамки квалификаций также могут участвовать представители системы образования. Своевременность и объективность оценки отраслевой рамки квалификаций возлагаются на председателя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Экспертная группа в течение 30 календарных дней со дня поступления оценивает проект отраслевой рамки квалификаций на соответствие его структуры и оформления макету отраслевой рамки квалификаций, а также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содержание отраслевой рамки квалификаций должно охватывать все необходимые требования, указанные в макете отраслевой рамки квалификаций, и учитывать специфику рассматриваемой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удобства восприятия информированным пользователем, отраслевая рамка квалификаций должна быть краткой, с использованием терминологии, предлагаемой настоящей Методологией, а также, понятно сформулирована;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отраслевая рамка квалификаций должна соответствовать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несоответствия представленного проекта отраслевой рамки квалификаций макету, отраслевой уполномоченный государственный орган возвращает его разработчикам на доработку. Экспертная группа проводит повторную оценку проекта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положительной оценке проекта отраслевой рамки квалификаций, экспертная группа составляет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Заказчик проекта отраслевой рамки квалификаций передает в уполномоченный государственный орган в сфере труда на согласование проект отраслевой рамки квалификаций с копией заключения экспертной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Порядок утверждения отраслевой рамки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Уполномоченный государственный орган в сфере труда в течение двух недель рассматривает проект отраслевой рамки квалификаций на соответствие требованиям трудового законодательства Кыргызской Республики. При отсутствии прямых противоречий, уполномоченный государственный орган в сфере труда представляет соответствующему отраслевому уполномоченному государственному органу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7. Проект отраслевой рамки квалификаций утверждается приказом/распоряжением отраслевого государственного уполномоченного органа в трехдневный срок и направляется на регистрацию в уполномоченный государственный орган в сфере труда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Уполномоченный государственный орган в сфере труда, после регистрации отраслевой рамки квалификаций, в течение одной недели направляет 1 экземпляр отраслевому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Уполномоченный государственный орган в сфере труда в течение трех рабочих дней вносит отраслевую рамку квалификаций в реестр и размещает на своем официальном сайте. Утвержденная отраслевая рамка квалификаций считается введенной в действие с момента публикации на официальном сайте уполномоченного государственного органа в сфере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Порядок разработки отраслевой рамки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Отраслевая рамка квалификаций разрабатывается согласно макету отраслевой рамки квалификаций и состоит из пяти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общая информация об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список должностей, профессий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структура отраслевой рамки квалификаций для отраслевых должностей 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структура отраслевой рамки квалификаций для межотраслевых должностей 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информация о разработчиках.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Общая информация об отрасли. В данном разделе отраслевой рамки квалификаций необходимо указать следующие пункты: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код отраслевой рамки квалификаций необходим для внесения в реестр уполномоченного государственного органа в сфере труда и для удобства пользования, хранения, поиска отраслевой рамки квалификаций. Код состоит из буквенных и цифровых знаков - XXXYYYZZZZ: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XXX - аббревиатура отраслевой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YYY - порядковый номер отраслевой рамки квалификаций в реестре (каждой отраслевой рамке квалификаций присваивается трехзначный порядковый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ZZZZ - секция, подсекция и раздел вида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Пример 1 - ОРК090QA86: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ОРК090 - номер отраслевой рамки квалификаций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ОРК090QA - секция, подсекция согласно Государственному классификатору Кыргызской Республики "Виды экономической деятельности" (далее - ГКЭД);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ОРК090QA86 - раздел в ГКЭД - здравоохранение.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Пример 2 - ОРК035А02: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ОРК035 - номер отраслевой рамки квалификаций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ОРК035А - секция согласно ГКЭД;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ОРК035А02 - раздел в ГКЭД - лесное хозяйство и предоставление услуг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указывается наименование отрасли согласно ГКЭД;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 формулировке основной цели отрасли учитывается ее вклад в развитие страны. Например, для отрасли здравоохранения цель может быть сформулирована следующим образом: охрана и укрепление здоровья граждан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необходимо перечислить перечень основных нормативных правовых актов, в рамках которых осуществляется деятельность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Список должностей, профессий отрасли. Данный раздел отраслевой рамки квалификаций разрабатывается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анализа и группировки всех существующих в отрасли профессий и должностей по категориям работников согласно Общереспубликанскому классификатору профессий, должностей служащих и тарифных разрядов Кыргызской Республики и Единому тарифно-квалификационному справочнику работ и профессий рабочих (например, руководители, специалисты высшего уровня квалификации и др. категории) и по уровням НРК;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определения отраслевых и межотраслевых групп должностей и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анализа и определения должностей и профессий могут использоваться Общереспубликанский классификатор занятий (далее - ОКЗ), штатные расписания организаций отрасли, должностные инструкции работников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Структура отраслевой рамки квалификаций для отраслевых должностей и профессий состоит из следующих элементов: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уровни отраслевой рамки квалификаций - определяются в соответствии с уровнями НРК. Необходимо иметь в виду, что в некоторых отраслях могут быть подуровни. Например, в здравоохранении уровень НРК 7 имеет подуровни 7.1 (специалисты) и 7.2 (ординаторы). В 7.1 могут войти и врачи, имеющие диплом магистра по экспериментальным образовательным программам или иностранных образовательных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макета отраслевой рамки квалификаций использован перечень дескрипторов из НРК: знания, навыки, личностные компетенции (1 - самостоятельность, 2 - ответственность, 3 - коммуникация). Содержание данных дескрипторов должно отражать специфику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графе "Наименование должностей" используется список должностей и профессий из второго раздела данного макета. При этом каждая профессия должна быть соотнесена с уровнем отраслевой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определения минимального уровня квалификации по НРК необходимо учесть уровень образования для данной должности и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графе "Пути достижения уровня квалификации" приводятся сведения о возможных траекториях продвижения и повышения квалификации. Уровень квалификации можно достичь через различные виды образования (формальные, неформальные, информальные), опыт работы и др. Например, для работы в должности врача требуется высшее профессиональное образование специалиста, опыт работы в данной сфере и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заключительной части приводится в табличной форме полная информация о разработке отраслевой рамки квалификаций, которая включает наименование разработчика (отраслевого совета/профессионального объединения/бизнес-ассоциации и др.), фамилии, имена, отчества, должности разработчиков, дату разработки и срок действия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Срок действия отраслевой рамки квалификаций устанавливается на 5 лет. В зависимости от специфики отрасли и при необходимости отраслевая рамка квалификаций может быть обновлена ранее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Для оформления отраслевой рамки квалификаций необходимо использовать единое оформление: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отраслевая рамка квалификаций оформляется с использованием шрифта "Times New Roman", размером 14, с одинарным междустрочным интервалом;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разделы ОРК, подразделы и пункты внутри раздела отделяются одним междустрочным интервалом;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структура отраслевой рамки квалификаций для отраслевых должностей и профессий оформляется в альбомном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размеры полей каждого листа документа: левое - 3 см; правое, верхнее и нижнее - 2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номера страниц отраслевой рамки квалификаций должны быть проставлены по правому краю нижнего поля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к Методологии разработки отраслевой рамки квалификаций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МАКЕТ
 отраслевой рамки квалификаций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Общая информация об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0"/>
        <w:gridCol w:w="3458"/>
      </w:tblGrid>
      <w:tr>
        <w:tc>
          <w:tcPr>
            <w:tcW w:type="dxa" w:w="6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отраслевой рамки квалификаций (секция, подсекция, раздел вида экономической деятельности)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отрасли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цели отрасли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Перечень основных нормативных правовых актов, в рамках которых осуществляется деятельность отрасли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Список должностей, профессий отрасли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1631"/>
        <w:gridCol w:w="1635"/>
        <w:gridCol w:w="2200"/>
        <w:gridCol w:w="1368"/>
        <w:gridCol w:w="208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Руководители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высшего уровня квалификации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среднего уровня квалификации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Служащие, занятые подготовкой и оформлением документации, учетом и обслуживанием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 категории работников отрасли(1)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Неквалифицированные рабочие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Отраслевые должности, профессии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Межотраслевые должности, профессии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Для других категорий работников отрасли рекомендуется создавать отдельные столбцы.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Структура отраслевой рамки квалификаций для 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6"/>
        <w:gridCol w:w="1053"/>
        <w:gridCol w:w="1053"/>
        <w:gridCol w:w="2022"/>
        <w:gridCol w:w="1517"/>
        <w:gridCol w:w="1519"/>
        <w:gridCol w:w="1519"/>
      </w:tblGrid>
      <w:tr>
        <w:tc>
          <w:tcPr>
            <w:tcW w:type="dxa" w:w="1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Личностные компетенции (самостоятельность, ответственность, коммуникация)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 отраслевой рамки квалификаций дли межотраслевых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3"/>
        <w:gridCol w:w="1024"/>
        <w:gridCol w:w="1024"/>
        <w:gridCol w:w="1960"/>
        <w:gridCol w:w="1539"/>
        <w:gridCol w:w="1539"/>
        <w:gridCol w:w="1539"/>
      </w:tblGrid>
      <w:tr>
        <w:tc>
          <w:tcPr>
            <w:tcW w:type="dxa" w:w="1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Личные компетенции (ответственность, самостоятельность коммуникация)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Информации о разработчиках отраслевой рамки квалификаций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9"/>
        <w:gridCol w:w="1968"/>
        <w:gridCol w:w="1970"/>
      </w:tblGrid>
      <w:tr>
        <w:tc>
          <w:tcPr>
            <w:tcW w:type="dxa" w:w="62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разработчика (отраслевого совета/профессионального объединения/бизнес-ассоциации и др.)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разработки отраслевой рамки квалификаций: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действия: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Участники разработки: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и наименование организации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к Методологии разработки отраслевой рамки квалификаций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Пример отраслевой рамки квалификаций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Общая информация об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5"/>
        <w:gridCol w:w="6943"/>
      </w:tblGrid>
      <w:tr>
        <w:tc>
          <w:tcPr>
            <w:tcW w:type="dxa" w:w="3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отраслевой рамки квалификаций (секция, подсекция, раздел вида экономической деятельности)</w:t>
            </w:r>
          </w:p>
        </w:tc>
        <w:tc>
          <w:tcPr>
            <w:tcW w:type="dxa" w:w="6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ОРК090QA86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отрасли</w:t>
            </w:r>
          </w:p>
        </w:tc>
        <w:tc>
          <w:tcPr>
            <w:tcW w:type="dxa" w:w="6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цели отрасли</w:t>
            </w:r>
          </w:p>
        </w:tc>
        <w:tc>
          <w:tcPr>
            <w:tcW w:type="dxa" w:w="6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Охрана и укрепление здоровья граждан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Перечень основных нормативных правовых актов, в рамках которых осуществляется деятельность отрасли</w:t>
            </w:r>
          </w:p>
        </w:tc>
        <w:tc>
          <w:tcPr>
            <w:tcW w:type="dxa" w:w="6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ОКЗ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Приказ Министерства здравоохранения Кыргызской Республики "Об утверждении номенклатуры медицинских и фармацевтических специальностей, номенклатуры должностей и перечня соответствия медицинских и фармацевтических должностей в организациях здравоохранения Кыргызской Республики" от 30 мая 2018 года № 387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Список должностей, профессий отрасли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9"/>
        <w:gridCol w:w="1618"/>
        <w:gridCol w:w="1622"/>
        <w:gridCol w:w="2394"/>
        <w:gridCol w:w="1348"/>
        <w:gridCol w:w="1877"/>
      </w:tblGrid>
      <w:tr>
        <w:tc>
          <w:tcPr>
            <w:tcW w:type="dxa" w:w="13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Руководители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высшего уровня квалификации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среднего уровня квалификации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Служащие, занятые подготовкой и оформлением документации, учетом и обслуживанием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 категории работников отрасли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Неквалифицированные рабочие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Отраслевые должности, профессии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больницы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Врачи (по направлениям)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Медсестра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Санитарка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Сиделка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Главврач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Ординатор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Старшая медсестра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Зубной техник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Няня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отделением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Провизор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Регистратор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Главная медсестра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аптеки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Статист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Ортодонт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Фармацевт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Межотраслевые должности, профессии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 администратор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Уборщица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столовой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Программист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Повар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Сторож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Комендант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Грузчик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Кладовщик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Посудомойщица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Прачка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Утюжница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Лифтер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Структура отраслевой рамки квалификаций для 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9"/>
        <w:gridCol w:w="690"/>
        <w:gridCol w:w="692"/>
        <w:gridCol w:w="1936"/>
        <w:gridCol w:w="1889"/>
        <w:gridCol w:w="1382"/>
        <w:gridCol w:w="2150"/>
      </w:tblGrid>
      <w:tr>
        <w:tc>
          <w:tcPr>
            <w:tcW w:type="dxa" w:w="1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Личностные компетенции (самостоятельность, ответственность, коммуникация)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7.1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больницы, главврач, заведующий отделением, администратор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7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(специалитет, магистратура) 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Врачи (по направлениям) ординатор, провизор, главная медсестра, статист, директор аптеки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7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(специалитет, ординатура) или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Врачи общественного здравоохранения, стоматолог, провизор, главная медсестра, статист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6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(бакалавриат, магистратура) или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Медсестра, старшая медсестра, фельдшер, лаборант, ортодонт, фармацевт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6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 или опыт работы в отрасли и/или дополнительное профессиональное образование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Структура отраслевой рамки квалификаций для межотраслевых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9"/>
        <w:gridCol w:w="792"/>
        <w:gridCol w:w="792"/>
        <w:gridCol w:w="1755"/>
        <w:gridCol w:w="1482"/>
        <w:gridCol w:w="1455"/>
        <w:gridCol w:w="2374"/>
      </w:tblGrid>
      <w:tr>
        <w:tc>
          <w:tcPr>
            <w:tcW w:type="dxa" w:w="1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Личные компетенции (ответственность, самостоятельность коммуникация)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 администратор, директор столовой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(специалитет, магистратура) 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бухгалтер, программист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(бакалавриат, магистратура) или опыт работы в отрасли и/или дополнительное профессиональное образование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Информация о разработке отраслевой рамки квалификаций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7"/>
        <w:gridCol w:w="2001"/>
        <w:gridCol w:w="2001"/>
      </w:tblGrid>
      <w:tr>
        <w:tc>
          <w:tcPr>
            <w:tcW w:type="dxa" w:w="6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разработчика (отраслевой совет/профессиональное объединение/бизнес-ассоциация и др.)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разработки отраслевой рамки квалификаций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действия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Участники разработки: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и наименование организации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ВПО 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ОКЗ -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СПО - среднее профессиональное образование.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uj7kbqnecdketn0ex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dalil.kg/document/158556</w:t>
      </w:r>
    </w:hyperlink>
  </w:p>
  <w:p>
    <w:pPr>
      <w:spacing w:after="0" w:before="40"/>
      <w:jc w:val="center"/>
    </w:pPr>
    <w:hyperlink w:history="1" r:id="rIda8pdxlhwaykjsb9ug4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8qfmgke3zdh1kekyaqb" Type="http://schemas.openxmlformats.org/officeDocument/2006/relationships/hyperlink" Target="https://dalil.kg/document/158554" TargetMode="External"/><Relationship Id="rIdajwmq6tnpnur3q-nwkmoi" Type="http://schemas.openxmlformats.org/officeDocument/2006/relationships/hyperlink" Target="https://dalil.kg/document/430002" TargetMode="External"/><Relationship Id="rIdwxzflwtgsqig1tpr_l9us" Type="http://schemas.openxmlformats.org/officeDocument/2006/relationships/hyperlink" Target="https://dalil.kg/document/1216" TargetMode="External"/><Relationship Id="rIds9vhrkvrclk91nbbuq0m3" Type="http://schemas.openxmlformats.org/officeDocument/2006/relationships/hyperlink" Target="https://dalil.kg/document/157131" TargetMode="External"/><Relationship Id="rIdtmgtymy_ypyfjdozrw40x" Type="http://schemas.openxmlformats.org/officeDocument/2006/relationships/hyperlink" Target="https://dalil.kg/document/157130" TargetMode="External"/><Relationship Id="rIdekflp50zjw5oza7kmdpn3" Type="http://schemas.openxmlformats.org/officeDocument/2006/relationships/hyperlink" Target="https://dalil.kg/document/157131" TargetMode="External"/><Relationship Id="rIdgoyy6cjy0fhpmtxae5j2l" Type="http://schemas.openxmlformats.org/officeDocument/2006/relationships/hyperlink" Target="https://dalil.kg/document/218084" TargetMode="External"/><Relationship Id="rIdksw9xuokwewf4vms9ozgz" Type="http://schemas.openxmlformats.org/officeDocument/2006/relationships/hyperlink" Target="https://dalil.kg/document/158556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uj7kbqnecdketn0ex8v" Type="http://schemas.openxmlformats.org/officeDocument/2006/relationships/hyperlink" Target="https://dalil.kg/document/158556" TargetMode="External"/><Relationship Id="rIda8pdxlhwaykjsb9ug4t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2026-09-29T14:25:46.981Z</dcterms:created>
  <dcterms:modified xsi:type="dcterms:W3CDTF">2026-09-29T14:25:46.981Z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