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
 в соответствии </w:t>
      </w:r>
      <w:r>
        <w:rPr>
          <w:rFonts w:ascii="Arial" w:cs="Arial" w:eastAsia="Arial" w:hAnsi="Arial"/>
          <w:i/>
          <w:iCs/>
          <w:sz w:val="24"/>
          <w:szCs w:val="24"/>
        </w:rPr>
        <w:t xml:space="preserve">с </w:t>
      </w:r>
      <w:hyperlink w:history="1" r:id="rIdyo4niz2bhlphlp3i4egk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w:t>
      </w:r>
      <w:r>
        <w:rPr>
          <w:rFonts w:ascii="Arial" w:cs="Arial" w:eastAsia="Arial" w:hAnsi="Arial"/>
          <w:i/>
          <w:iCs/>
          <w:sz w:val="24"/>
          <w:szCs w:val="24"/>
        </w:rPr>
        <w:t xml:space="preserve">абинета Министров КР</w:t>
      </w:r>
      <w:r>
        <w:rPr>
          <w:rFonts w:ascii="Arial" w:cs="Arial" w:eastAsia="Arial" w:hAnsi="Arial"/>
          <w:i/>
          <w:iCs/>
          <w:sz w:val="24"/>
          <w:szCs w:val="24"/>
        </w:rPr>
        <w:t xml:space="preserve">
 от </w:t>
      </w:r>
      <w:r>
        <w:rPr>
          <w:rFonts w:ascii="Arial" w:cs="Arial" w:eastAsia="Arial" w:hAnsi="Arial"/>
          <w:i/>
          <w:iCs/>
          <w:sz w:val="24"/>
          <w:szCs w:val="24"/>
        </w:rPr>
        <w:t xml:space="preserve">16 января </w:t>
      </w:r>
      <w:r>
        <w:rPr>
          <w:rFonts w:ascii="Arial" w:cs="Arial" w:eastAsia="Arial" w:hAnsi="Arial"/>
          <w:i/>
          <w:iCs/>
          <w:sz w:val="24"/>
          <w:szCs w:val="24"/>
        </w:rPr>
        <w:t xml:space="preserve">20</w:t>
      </w:r>
      <w:r>
        <w:rPr>
          <w:rFonts w:ascii="Arial" w:cs="Arial" w:eastAsia="Arial" w:hAnsi="Arial"/>
          <w:i/>
          <w:iCs/>
          <w:sz w:val="24"/>
          <w:szCs w:val="24"/>
        </w:rPr>
        <w:t xml:space="preserve">23</w:t>
      </w:r>
      <w:r>
        <w:rPr>
          <w:rFonts w:ascii="Arial" w:cs="Arial" w:eastAsia="Arial" w:hAnsi="Arial"/>
          <w:i/>
          <w:iCs/>
          <w:sz w:val="24"/>
          <w:szCs w:val="24"/>
        </w:rPr>
        <w:t xml:space="preserve"> года № </w:t>
      </w:r>
      <w:r>
        <w:rPr>
          <w:rFonts w:ascii="Arial" w:cs="Arial" w:eastAsia="Arial" w:hAnsi="Arial"/>
          <w:i/>
          <w:iCs/>
          <w:sz w:val="24"/>
          <w:szCs w:val="24"/>
        </w:rPr>
        <w:t xml:space="preserve">20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32"/>
          <w:szCs w:val="32"/>
        </w:rPr>
        <w:t xml:space="preserve">ПОСТАНОВЛЕНИЕ КАБИНЕТА МИНИСТРОВ </w:t>
      </w: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14 октября 2021 года № 220</w:t>
      </w:r>
    </w:p>
    <w:p>
      <w:pPr>
        <w:spacing w:after="480" w:before="200"/>
        <w:jc w:val="center"/>
      </w:pPr>
      <w:r>
        <w:rPr>
          <w:rFonts w:ascii="Arial" w:cs="Arial" w:eastAsia="Arial" w:hAnsi="Arial"/>
          <w:b/>
          <w:bCs/>
          <w:sz w:val="32"/>
          <w:szCs w:val="32"/>
        </w:rPr>
        <w:t xml:space="preserve">Об утверждении Типового положения о фондах развития регионов</w:t>
      </w:r>
    </w:p>
    <w:p>
      <w:pPr>
        <w:spacing w:after="480"/>
        <w:jc w:val="center"/>
      </w:pPr>
      <w:r>
        <w:rPr>
          <w:rFonts w:ascii="Arial" w:cs="Arial" w:eastAsia="Arial" w:hAnsi="Arial"/>
          <w:i/>
          <w:iCs/>
          <w:sz w:val="24"/>
          <w:szCs w:val="24"/>
        </w:rPr>
        <w:t xml:space="preserve">(В редакции постановления Кабинета Министров КР от </w:t>
      </w:r>
      <w:hyperlink w:history="1" r:id="rIdy1zhm_6ucqoypqxlf9xud">
        <w:r>
          <w:rPr>
            <w:rFonts w:ascii="Arial" w:cs="Arial" w:eastAsia="Arial" w:hAnsi="Arial"/>
            <w:i/>
            <w:iCs/>
            <w:color w:val="1D4ED8"/>
            <w:sz w:val="24"/>
            <w:szCs w:val="24"/>
            <w:u w:val="single"/>
          </w:rPr>
          <w:t xml:space="preserve">12 июля 2022 года № 376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соответствии со </w:t>
      </w:r>
      <w:hyperlink w:history="1" r:id="rId2riedt9uexpzagkt7vgig">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Бюджетного кодекса Кыргызской Республики, статьями </w:t>
      </w:r>
      <w:hyperlink w:history="1" r:id="rIdsgehn3bryx-qqychirggd">
        <w:r>
          <w:rPr>
            <w:rFonts w:ascii="Arial" w:cs="Arial" w:eastAsia="Arial" w:hAnsi="Arial"/>
            <w:color w:val="1D4ED8"/>
            <w:sz w:val="24"/>
            <w:szCs w:val="24"/>
            <w:u w:val="single"/>
          </w:rPr>
          <w:t xml:space="preserve">13</w:t>
        </w:r>
      </w:hyperlink>
      <w:r>
        <w:rPr>
          <w:rFonts w:ascii="Arial" w:cs="Arial" w:eastAsia="Arial" w:hAnsi="Arial"/>
          <w:sz w:val="24"/>
          <w:szCs w:val="24"/>
        </w:rPr>
        <w:t xml:space="preserve"> и </w:t>
      </w:r>
      <w:hyperlink w:history="1" r:id="rIdmk96d-mlt8daekioy3zyk">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    </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Утвердить:</w:t>
      </w:r>
    </w:p>
    <w:p>
      <w:pPr>
        <w:spacing w:after="120"/>
        <w:jc w:val="both"/>
      </w:pPr>
      <w:r>
        <w:rPr>
          <w:rFonts w:ascii="Arial" w:cs="Arial" w:eastAsia="Arial" w:hAnsi="Arial"/>
          <w:sz w:val="24"/>
          <w:szCs w:val="24"/>
        </w:rPr>
        <w:t xml:space="preserve">- </w:t>
      </w:r>
      <w:hyperlink w:history="1" r:id="rIdjvtd9d2nqke5zau6imccs">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фондах развития регионов согласно приложению 1;</w:t>
      </w:r>
    </w:p>
    <w:p>
      <w:pPr>
        <w:spacing w:after="120"/>
        <w:jc w:val="both"/>
      </w:pPr>
      <w:r>
        <w:rPr>
          <w:rFonts w:ascii="Arial" w:cs="Arial" w:eastAsia="Arial" w:hAnsi="Arial"/>
          <w:sz w:val="24"/>
          <w:szCs w:val="24"/>
        </w:rPr>
        <w:t xml:space="preserve">- таблицу критериев и индикаторов отбора социальных проектов для финансирования за счет средств Фонда развития регионов согласно </w:t>
      </w:r>
      <w:hyperlink w:history="1" r:id="rIduprfut9nu4ddjkwxbudsf">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таблицу критериев и индикаторов отбора экономических проектов для финансирования за счет средств Фонда развития регионов согласно </w:t>
      </w:r>
      <w:hyperlink w:history="1" r:id="rIdmh0t52k_inzjxirnywwnz">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Договор о целевом финансировании согласно </w:t>
      </w:r>
      <w:hyperlink w:history="1" r:id="rIduqf7wy4i5e4l7lctvnzub">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Порядок распределения средств из республиканского бюджета в фонды развития регионов согласно </w:t>
      </w:r>
      <w:hyperlink w:history="1" r:id="rId4wfbwhcgqlssxhaz8qdf1">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Типовое соглашение между Фондом развития региона, финансово-кредитной организацией и субъектом предпринимательства по передаче прав на осуществление финансово-технического обслуживания кредитной линии по экономическим проектам согласно </w:t>
      </w:r>
      <w:hyperlink w:history="1" r:id="rId7y5mqw486dhz4siu3mw3n">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skkroujdwvdc1inwlphm0">
        <w:r>
          <w:rPr>
            <w:rFonts w:ascii="Arial" w:cs="Arial" w:eastAsia="Arial" w:hAnsi="Arial"/>
            <w:i/>
            <w:iCs/>
            <w:color w:val="1D4ED8"/>
            <w:sz w:val="24"/>
            <w:szCs w:val="24"/>
            <w:u w:val="single"/>
          </w:rPr>
          <w:t xml:space="preserve">12 июля 2022 года № 376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Полномочным представителям Президента Кыргызской Республики в областях и местным государственным администрациям в трехмесячный срок привести уставные документы фондов развития регионов в соответствие с настоящим Типовым положением, утвержденным пунктом 1 настоящего постановления.</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Признать утратившими силу: </w:t>
      </w:r>
    </w:p>
    <w:p>
      <w:pPr>
        <w:spacing w:after="120"/>
        <w:jc w:val="both"/>
      </w:pPr>
      <w:r>
        <w:rPr>
          <w:rFonts w:ascii="Arial" w:cs="Arial" w:eastAsia="Arial" w:hAnsi="Arial"/>
          <w:sz w:val="24"/>
          <w:szCs w:val="24"/>
        </w:rPr>
        <w:t xml:space="preserve">- </w:t>
      </w:r>
      <w:hyperlink w:history="1" r:id="rId67ch0uaffyix2ngqu26l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Типового положения о порядке формирования фондов развития регионов» от 10 ноября 2014 года № 633;   </w:t>
      </w:r>
    </w:p>
    <w:p>
      <w:pPr>
        <w:spacing w:after="120"/>
        <w:jc w:val="both"/>
      </w:pPr>
      <w:r>
        <w:rPr>
          <w:rFonts w:ascii="Arial" w:cs="Arial" w:eastAsia="Arial" w:hAnsi="Arial"/>
          <w:sz w:val="24"/>
          <w:szCs w:val="24"/>
        </w:rPr>
        <w:t xml:space="preserve">- </w:t>
      </w:r>
      <w:hyperlink w:history="1" r:id="rIdbyohvr95v0x6sjespj6e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w:t>
      </w:r>
      <w:hyperlink w:history="1" r:id="rIdof0dzn0-s315fxacsmqc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Типового положения о порядке формирования фондов развития регионов» от 10 ноября 2014 года № 633» от 8 июля 2015 года № 468;   </w:t>
      </w:r>
    </w:p>
    <w:p>
      <w:pPr>
        <w:spacing w:after="120"/>
        <w:jc w:val="both"/>
      </w:pPr>
      <w:r>
        <w:rPr>
          <w:rFonts w:ascii="Arial" w:cs="Arial" w:eastAsia="Arial" w:hAnsi="Arial"/>
          <w:sz w:val="24"/>
          <w:szCs w:val="24"/>
        </w:rPr>
        <w:t xml:space="preserve">- </w:t>
      </w:r>
      <w:hyperlink w:history="1" r:id="rIdzy67lycef7hntkcdqo7h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w:t>
      </w:r>
      <w:hyperlink w:history="1" r:id="rIdmbfwyanvw2jy5fjwmikec">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«Об утверждении Типового положения о порядке формирования фондов развития регионов» от 10 ноября 2014 года № 633» от 3 марта 2016 года № 101;   </w:t>
      </w:r>
    </w:p>
    <w:p>
      <w:pPr>
        <w:spacing w:after="120"/>
        <w:jc w:val="both"/>
      </w:pPr>
      <w:r>
        <w:rPr>
          <w:rFonts w:ascii="Arial" w:cs="Arial" w:eastAsia="Arial" w:hAnsi="Arial"/>
          <w:sz w:val="24"/>
          <w:szCs w:val="24"/>
        </w:rPr>
        <w:t xml:space="preserve">-</w:t>
      </w:r>
      <w:hyperlink w:history="1" r:id="rIdtxntcjuq4pwp9qgvxyc1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efkmsje3weabrneylzlc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Типового положения о порядке формирования фондов развития регионов» от 10 ноября 2014 года № 633» от 7 марта 2017 года № 143;   </w:t>
      </w:r>
    </w:p>
    <w:p>
      <w:pPr>
        <w:spacing w:after="120"/>
        <w:jc w:val="both"/>
      </w:pPr>
      <w:r>
        <w:rPr>
          <w:rFonts w:ascii="Arial" w:cs="Arial" w:eastAsia="Arial" w:hAnsi="Arial"/>
          <w:sz w:val="24"/>
          <w:szCs w:val="24"/>
        </w:rPr>
        <w:t xml:space="preserve">- </w:t>
      </w:r>
      <w:hyperlink w:history="1" r:id="rIdk5du-dlujafgg9xks8zv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dx1xotvessyxmuzmkoru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Типового положения о порядке формирования фондов развития регионов» от 10 ноября 2014 года № 633» от 7 августа 2017 года № 465;   </w:t>
      </w:r>
    </w:p>
    <w:p>
      <w:pPr>
        <w:spacing w:after="120"/>
        <w:jc w:val="both"/>
      </w:pPr>
      <w:r>
        <w:rPr>
          <w:rFonts w:ascii="Arial" w:cs="Arial" w:eastAsia="Arial" w:hAnsi="Arial"/>
          <w:sz w:val="24"/>
          <w:szCs w:val="24"/>
        </w:rPr>
        <w:t xml:space="preserve">- </w:t>
      </w:r>
      <w:hyperlink w:history="1" r:id="rIdzkggr4vcxksoa2i05dhr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0nfoo7ffgrukqr-femzs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Типового положения о порядке формирования фондов развития регионов» от 10 ноября 2014 года № 633» от 14 августа 2017 года № 480;   </w:t>
      </w:r>
    </w:p>
    <w:p>
      <w:pPr>
        <w:spacing w:after="120"/>
        <w:jc w:val="both"/>
      </w:pPr>
      <w:r>
        <w:rPr>
          <w:rFonts w:ascii="Arial" w:cs="Arial" w:eastAsia="Arial" w:hAnsi="Arial"/>
          <w:sz w:val="24"/>
          <w:szCs w:val="24"/>
        </w:rPr>
        <w:t xml:space="preserve">- </w:t>
      </w:r>
      <w:hyperlink w:history="1" r:id="rIde-lgng9nr3xtytgsjzh3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eoyemfajprwavitemz7v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Типового положения о порядке формирования фондов развития регионов» от 13 февраля 2019 года № 52.   </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 </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Таблица
 критериев и индикаторов отбора социальных проектов проекта для финансирования за счет средств Фонда развития регионов</w:t>
      </w:r>
    </w:p>
    <w:p>
      <w:pPr>
        <w:spacing w:after="60"/>
        <w:ind w:firstLine="567"/>
        <w:jc w:val="both"/>
      </w:pPr>
      <w:r>
        <w:rPr>
          <w:rFonts w:ascii="Arial" w:cs="Arial" w:eastAsia="Arial" w:hAnsi="Arial"/>
          <w:sz w:val="24"/>
          <w:szCs w:val="24"/>
        </w:rPr>
        <w:t xml:space="preserve">Наименование проекта:</w:t>
      </w:r>
    </w:p>
    <w:p>
      <w:pPr>
        <w:spacing w:after="60"/>
        <w:ind w:firstLine="567"/>
        <w:jc w:val="both"/>
      </w:pPr>
      <w:r>
        <w:rPr>
          <w:rFonts w:ascii="Arial" w:cs="Arial" w:eastAsia="Arial" w:hAnsi="Arial"/>
          <w:sz w:val="24"/>
          <w:szCs w:val="24"/>
        </w:rPr>
        <w:t xml:space="preserve">Наименование государственного учреждения/айылного аймака/города:</w:t>
      </w:r>
    </w:p>
    <w:p>
      <w:pPr>
        <w:spacing w:after="60"/>
        <w:ind w:firstLine="567"/>
        <w:jc w:val="both"/>
      </w:pPr>
      <w:r>
        <w:rPr>
          <w:rFonts w:ascii="Arial" w:cs="Arial" w:eastAsia="Arial" w:hAnsi="Arial"/>
          <w:sz w:val="24"/>
          <w:szCs w:val="24"/>
        </w:rPr>
        <w:t xml:space="preserve">Район:</w:t>
      </w:r>
    </w:p>
    <w:p>
      <w:pPr>
        <w:spacing w:after="120"/>
        <w:ind w:firstLine="567"/>
        <w:jc w:val="both"/>
      </w:pPr>
      <w:r>
        <w:rPr>
          <w:rFonts w:ascii="Arial" w:cs="Arial" w:eastAsia="Arial" w:hAnsi="Arial"/>
          <w:sz w:val="24"/>
          <w:szCs w:val="24"/>
        </w:rPr>
        <w:t xml:space="preserve">Область: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62"/>
        <w:gridCol w:w="4877"/>
        <w:gridCol w:w="1317"/>
        <w:gridCol w:w="1122"/>
      </w:tblGrid>
      <w:tr>
        <w:tc>
          <w:tcPr>
            <w:tcW w:type="dxa" w:w="28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4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индикатора</w:t>
            </w:r>
          </w:p>
        </w:tc>
        <w:tc>
          <w:tcPr>
            <w:tcW w:type="dxa" w:w="13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Оценочные баллы</w:t>
            </w:r>
          </w:p>
        </w:tc>
        <w:tc>
          <w:tcPr>
            <w:tcW w:type="dxa" w:w="11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 баллы</w:t>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Обоснованность социальной проблемы</w:t>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Низкая обоснованность</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Средняя обоснованность</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Высокая обоснованность</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Значимость на территориальном уровне</w:t>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значимость на уровне айылного аймака</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значимость на уровне района</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значимость на уровне области</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значимость на уровне республики</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Вовлеченность населения в определение приоритетности</w:t>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социальная мобилизация не проводилась</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социальная мобилизация проведена с участием отдельных групп граждан</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социальная мобилизация проведена с широким охватом населения</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Наличие технической документации</w:t>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 соответствие технической документации требованиям</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неполное соответствие технической документации требованиям</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полное соответствие технической документации требованиям</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Средства Республиканского бюджета, местного бюджета, международных организаций и иных источников</w:t>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средства республиканского/местного бюджета, сообщества, доноров менее 50% от общей стоимости проекта</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средства республиканского/местного бюджета, сообщества, доноров более 50% от общей стоимости проекта</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Наличие трудового участия или взноса материалами для реализации проекта</w:t>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отсутствует трудовое участие или взнос материалами</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трудовое участие или взнос материалами населением составляет менее 50% от общего вклада</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трудовое участие или взнос материалами населением составляет более 50% от общего вклада</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Таблица
 критериев и индикаторов отбора экономических проектов для финансирования за счет средств Фонда развития регионов</w:t>
      </w:r>
    </w:p>
    <w:p>
      <w:pPr>
        <w:spacing w:after="60"/>
        <w:ind w:firstLine="567"/>
        <w:jc w:val="both"/>
      </w:pPr>
      <w:r>
        <w:rPr>
          <w:rFonts w:ascii="Arial" w:cs="Arial" w:eastAsia="Arial" w:hAnsi="Arial"/>
          <w:sz w:val="24"/>
          <w:szCs w:val="24"/>
        </w:rPr>
        <w:t xml:space="preserve">Наименование проекта:</w:t>
      </w:r>
    </w:p>
    <w:p>
      <w:pPr>
        <w:spacing w:after="60"/>
        <w:ind w:firstLine="567"/>
        <w:jc w:val="both"/>
      </w:pPr>
      <w:r>
        <w:rPr>
          <w:rFonts w:ascii="Arial" w:cs="Arial" w:eastAsia="Arial" w:hAnsi="Arial"/>
          <w:sz w:val="24"/>
          <w:szCs w:val="24"/>
        </w:rPr>
        <w:t xml:space="preserve">Наименование государственного учреждения/айылного аймака/города:</w:t>
      </w:r>
    </w:p>
    <w:p>
      <w:pPr>
        <w:spacing w:after="60"/>
        <w:ind w:firstLine="567"/>
        <w:jc w:val="both"/>
      </w:pPr>
      <w:r>
        <w:rPr>
          <w:rFonts w:ascii="Arial" w:cs="Arial" w:eastAsia="Arial" w:hAnsi="Arial"/>
          <w:sz w:val="24"/>
          <w:szCs w:val="24"/>
        </w:rPr>
        <w:t xml:space="preserve">Район:</w:t>
      </w:r>
    </w:p>
    <w:p>
      <w:pPr>
        <w:spacing w:after="120"/>
        <w:ind w:firstLine="567"/>
        <w:jc w:val="both"/>
      </w:pPr>
      <w:r>
        <w:rPr>
          <w:rFonts w:ascii="Arial" w:cs="Arial" w:eastAsia="Arial" w:hAnsi="Arial"/>
          <w:sz w:val="24"/>
          <w:szCs w:val="24"/>
        </w:rPr>
        <w:t xml:space="preserve">Область: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4"/>
        <w:gridCol w:w="4645"/>
        <w:gridCol w:w="1317"/>
        <w:gridCol w:w="1122"/>
      </w:tblGrid>
      <w:tr>
        <w:tc>
          <w:tcPr>
            <w:tcW w:type="dxa" w:w="30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46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индикатора</w:t>
            </w:r>
          </w:p>
        </w:tc>
        <w:tc>
          <w:tcPr>
            <w:tcW w:type="dxa" w:w="13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Оценочные баллы</w:t>
            </w:r>
          </w:p>
        </w:tc>
        <w:tc>
          <w:tcPr>
            <w:tcW w:type="dxa" w:w="11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 баллы</w:t>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Количество ожидаемых рабочих мест</w:t>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до 5 человек</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от 5 до 10 человек</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свыше 10 человек</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Вовлеченнность бизнес-сообщества в обсуждение и отбор проекта</w:t>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обсуждение с предпринимателями не проводилось</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низкая вовлеченность предпринимателей</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высокая вовлеченность предпринимателей, имеются протоколы собраний по обсуждению проекта</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Наличие технической документации</w:t>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нет соответствия технической документации требованиям</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неполное соответствие технической документации требованиям</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полное соответствие технической документации требованиям</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Планируемые рабочие места для лиц с ограниченными возможностями здоровья</w:t>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 планируется</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до 5 рабочих мест</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от 5 до 10 рабочих мест</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высокие риски, объект будет использоваться в производственной деятельности, и в случае неудачной реализации проекта объект потеряет свою ценность (оборудование, инструменты)</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средние риски, объект может быть использован для других инвестиционных проектов (здание, ограждение, строительная техника)</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низкие риски, объект одновременно может использоваться для решения вопросов местного значения (трансформатор, скважина, грузовой автомобиль, трактор и т.д.)</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Инновационность проекта</w:t>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отсутствие инноваций</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инновации повлияют на улучшение деятельности конкретной организации</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инновации повлияют на развитие данного сектора на территории региона</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Договор
 о целевом финансировании</w:t>
      </w:r>
    </w:p>
    <w:p>
      <w:pPr>
        <w:spacing w:after="60"/>
        <w:ind w:firstLine="567"/>
        <w:jc w:val="right"/>
      </w:pPr>
      <w:r>
        <w:rPr>
          <w:rFonts w:ascii="Arial" w:cs="Arial" w:eastAsia="Arial" w:hAnsi="Arial"/>
          <w:sz w:val="24"/>
          <w:szCs w:val="24"/>
        </w:rPr>
        <w:t xml:space="preserve">"__" _______________ 20__года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Фонд развития _____________________ района/области, именуемый далее Фонд, в лице исполнительного директора Фонда _______________________, и государственное учреждение/исполнительный орган местного самоуправления ______________________ айылного аймака/города, именуемый далее «Получатель» вместе именуемые – «Стороны», заключили настоящее Договор о нижеследующем:</w:t>
      </w:r>
    </w:p>
    <w:p>
      <w:pPr>
        <w:spacing w:after="240" w:before="240"/>
        <w:jc w:val="center"/>
      </w:pPr>
      <w:r>
        <w:rPr>
          <w:rFonts w:ascii="Arial" w:cs="Arial" w:eastAsia="Arial" w:hAnsi="Arial"/>
          <w:b/>
          <w:bCs/>
          <w:sz w:val="32"/>
          <w:szCs w:val="32"/>
        </w:rPr>
        <w:t xml:space="preserve">Глава 1. Предмет договора</w:t>
      </w:r>
    </w:p>
    <w:p>
      <w:pPr>
        <w:spacing w:after="60"/>
        <w:ind w:firstLine="567"/>
        <w:jc w:val="both"/>
      </w:pPr>
      <w:r>
        <w:rPr>
          <w:rFonts w:ascii="Arial" w:cs="Arial" w:eastAsia="Arial" w:hAnsi="Arial"/>
          <w:sz w:val="24"/>
          <w:szCs w:val="24"/>
        </w:rPr>
        <w:t xml:space="preserve">1.1. Фонд по итогам конкурсного отбора на безвозмездной основе предоставляет Получателю денежные средства, а Получатель обязуется использовать их по целевому назначению для реализации проекта ________________________________ в соответствии с условиями настоящего Договора.</w:t>
      </w:r>
    </w:p>
    <w:p>
      <w:pPr>
        <w:spacing w:after="60"/>
        <w:ind w:firstLine="567"/>
        <w:jc w:val="both"/>
      </w:pPr>
      <w:r>
        <w:rPr>
          <w:rFonts w:ascii="Arial" w:cs="Arial" w:eastAsia="Arial" w:hAnsi="Arial"/>
          <w:sz w:val="24"/>
          <w:szCs w:val="24"/>
        </w:rPr>
        <w:t xml:space="preserve">1.2. Финансирования Проекта осуществляется на условиях, предусмотренных настоящим Договором, в соответствии с планом реализации проекта (</w:t>
      </w:r>
      <w:hyperlink w:history="1" r:id="rIdijporpuzrpottbjiea3z7">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Договору (далее - План), со сметой расходов, покрываемых за счет средств Получателя и Фонда (</w:t>
      </w:r>
      <w:hyperlink w:history="1" r:id="rIdfpfdtjenhpegithnljjl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(далее - Смета) и планом финансирования проекта </w:t>
      </w:r>
      <w:hyperlink w:history="1" r:id="rIdyyx__nai5zeh4znxfylau">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 Приложения 1, 2 и 3 являются неотъемлемыми частями настоящего Договора, и без указанных приложений Договор является недействительным.</w:t>
      </w:r>
    </w:p>
    <w:p>
      <w:pPr>
        <w:spacing w:after="60"/>
        <w:ind w:firstLine="567"/>
        <w:jc w:val="both"/>
      </w:pPr>
      <w:r>
        <w:rPr>
          <w:rFonts w:ascii="Arial" w:cs="Arial" w:eastAsia="Arial" w:hAnsi="Arial"/>
          <w:sz w:val="24"/>
          <w:szCs w:val="24"/>
        </w:rPr>
        <w:t xml:space="preserve">1.4. Срок реализации Проекта: с ____________ по _____________ 20__ года.</w:t>
      </w:r>
    </w:p>
    <w:p>
      <w:pPr>
        <w:spacing w:after="240" w:before="240"/>
        <w:jc w:val="center"/>
      </w:pPr>
      <w:r>
        <w:rPr>
          <w:rFonts w:ascii="Arial" w:cs="Arial" w:eastAsia="Arial" w:hAnsi="Arial"/>
          <w:b/>
          <w:bCs/>
          <w:sz w:val="32"/>
          <w:szCs w:val="32"/>
        </w:rPr>
        <w:t xml:space="preserve">Глава 2. Размер гранта и порядок выплаты</w:t>
      </w:r>
    </w:p>
    <w:p>
      <w:pPr>
        <w:spacing w:after="60"/>
        <w:ind w:firstLine="567"/>
        <w:jc w:val="both"/>
      </w:pPr>
      <w:r>
        <w:rPr>
          <w:rFonts w:ascii="Arial" w:cs="Arial" w:eastAsia="Arial" w:hAnsi="Arial"/>
          <w:sz w:val="24"/>
          <w:szCs w:val="24"/>
        </w:rPr>
        <w:t xml:space="preserve">2.1. Общая сумма финансирования составляет _________________________ (сумма прописью) сомов.</w:t>
      </w:r>
    </w:p>
    <w:p>
      <w:pPr>
        <w:spacing w:after="60"/>
        <w:ind w:firstLine="567"/>
        <w:jc w:val="both"/>
      </w:pPr>
      <w:r>
        <w:rPr>
          <w:rFonts w:ascii="Arial" w:cs="Arial" w:eastAsia="Arial" w:hAnsi="Arial"/>
          <w:sz w:val="24"/>
          <w:szCs w:val="24"/>
        </w:rPr>
        <w:t xml:space="preserve">2.2. Денежные средства предоставляются Фондом частями (траншами), при этом сумма всех траншей не должна превышать общей суммы финансирования в соответствии с пунктом.2.1 настоящего Договора.</w:t>
      </w:r>
    </w:p>
    <w:p>
      <w:pPr>
        <w:spacing w:after="60"/>
        <w:ind w:firstLine="567"/>
        <w:jc w:val="both"/>
      </w:pPr>
      <w:r>
        <w:rPr>
          <w:rFonts w:ascii="Arial" w:cs="Arial" w:eastAsia="Arial" w:hAnsi="Arial"/>
          <w:sz w:val="24"/>
          <w:szCs w:val="24"/>
        </w:rPr>
        <w:t xml:space="preserve">2.3. Фонд направляет денежные средства на расчетный счет организации – подрядчика, отобранной Получателям, в рамках процедур закупок и подписавшей с ней договор на поставку работ/товаров/услуг.</w:t>
      </w:r>
    </w:p>
    <w:p>
      <w:pPr>
        <w:spacing w:after="60"/>
        <w:ind w:firstLine="567"/>
        <w:jc w:val="both"/>
      </w:pPr>
      <w:r>
        <w:rPr>
          <w:rFonts w:ascii="Arial" w:cs="Arial" w:eastAsia="Arial" w:hAnsi="Arial"/>
          <w:sz w:val="24"/>
          <w:szCs w:val="24"/>
        </w:rPr>
        <w:t xml:space="preserve">2.4. Транши перечисляются подрядчику на основании заявки Получателя, которая включает в себя акты выполнения предыдущих работ и предыдущих траншей.</w:t>
      </w:r>
    </w:p>
    <w:p>
      <w:pPr>
        <w:spacing w:after="60"/>
        <w:ind w:firstLine="567"/>
        <w:jc w:val="both"/>
      </w:pPr>
      <w:r>
        <w:rPr>
          <w:rFonts w:ascii="Arial" w:cs="Arial" w:eastAsia="Arial" w:hAnsi="Arial"/>
          <w:sz w:val="24"/>
          <w:szCs w:val="24"/>
        </w:rPr>
        <w:t xml:space="preserve">2.5. Все комиссионные платежи, взимаемые банками за перечисление денежных средств, Стороны оплачивают самостоятельно и за свой счет, в банке Фонда – «Фонд», в банке Получателя – («Получатель»).</w:t>
      </w:r>
    </w:p>
    <w:p>
      <w:pPr>
        <w:spacing w:after="240" w:before="240"/>
        <w:jc w:val="center"/>
      </w:pPr>
      <w:r>
        <w:rPr>
          <w:rFonts w:ascii="Arial" w:cs="Arial" w:eastAsia="Arial" w:hAnsi="Arial"/>
          <w:b/>
          <w:bCs/>
          <w:sz w:val="32"/>
          <w:szCs w:val="32"/>
        </w:rPr>
        <w:t xml:space="preserve">Глава 3. Права и обязанности Фонда</w:t>
      </w:r>
    </w:p>
    <w:p>
      <w:pPr>
        <w:spacing w:after="60"/>
        <w:ind w:firstLine="567"/>
        <w:jc w:val="both"/>
      </w:pPr>
      <w:r>
        <w:rPr>
          <w:rFonts w:ascii="Arial" w:cs="Arial" w:eastAsia="Arial" w:hAnsi="Arial"/>
          <w:sz w:val="24"/>
          <w:szCs w:val="24"/>
        </w:rPr>
        <w:t xml:space="preserve">3.1. Фонд обязуется обеспечить финансирование в сроки и в объемах в соответствии с условиями, определенными настоящим Договором.</w:t>
      </w:r>
    </w:p>
    <w:p>
      <w:pPr>
        <w:spacing w:after="60"/>
        <w:ind w:firstLine="567"/>
        <w:jc w:val="both"/>
      </w:pPr>
      <w:r>
        <w:rPr>
          <w:rFonts w:ascii="Arial" w:cs="Arial" w:eastAsia="Arial" w:hAnsi="Arial"/>
          <w:sz w:val="24"/>
          <w:szCs w:val="24"/>
        </w:rPr>
        <w:t xml:space="preserve">Фонд не вправе изменять указанные условия в одностороннем порядке.</w:t>
      </w:r>
    </w:p>
    <w:p>
      <w:pPr>
        <w:spacing w:after="60"/>
        <w:ind w:firstLine="567"/>
        <w:jc w:val="both"/>
      </w:pPr>
      <w:r>
        <w:rPr>
          <w:rFonts w:ascii="Arial" w:cs="Arial" w:eastAsia="Arial" w:hAnsi="Arial"/>
          <w:sz w:val="24"/>
          <w:szCs w:val="24"/>
        </w:rPr>
        <w:t xml:space="preserve">3.2. Фонд не несет ответственности за выбор Получателем третьих лиц, участвующих в реализации проекта.</w:t>
      </w:r>
    </w:p>
    <w:p>
      <w:pPr>
        <w:spacing w:after="60"/>
        <w:ind w:firstLine="567"/>
        <w:jc w:val="both"/>
      </w:pPr>
      <w:r>
        <w:rPr>
          <w:rFonts w:ascii="Arial" w:cs="Arial" w:eastAsia="Arial" w:hAnsi="Arial"/>
          <w:sz w:val="24"/>
          <w:szCs w:val="24"/>
        </w:rPr>
        <w:t xml:space="preserve">3.3. Для обеспечения эффективного контроля реализации проекта Фонд вправе получать от Получателя отчетную документацию о ходе реализации проекта расходовании денежных средств, бухгалтерскую отчетность, финансовые документы, касающиеся использования денежных средств за период реализации проекта.</w:t>
      </w:r>
    </w:p>
    <w:p>
      <w:pPr>
        <w:spacing w:after="60"/>
        <w:ind w:firstLine="567"/>
        <w:jc w:val="both"/>
      </w:pPr>
      <w:r>
        <w:rPr>
          <w:rFonts w:ascii="Arial" w:cs="Arial" w:eastAsia="Arial" w:hAnsi="Arial"/>
          <w:sz w:val="24"/>
          <w:szCs w:val="24"/>
        </w:rPr>
        <w:t xml:space="preserve">3.4. Фонд вправе применять в отношении Получателя любые предусмотренные законодательством Кыргызской Республики и настоящим Договором меры воздействия, направленные на обеспечение целевого финансирования, на любой стадии реализации Проекта.</w:t>
      </w:r>
    </w:p>
    <w:p>
      <w:pPr>
        <w:spacing w:after="240" w:before="240"/>
        <w:jc w:val="center"/>
      </w:pPr>
      <w:r>
        <w:rPr>
          <w:rFonts w:ascii="Arial" w:cs="Arial" w:eastAsia="Arial" w:hAnsi="Arial"/>
          <w:b/>
          <w:bCs/>
          <w:sz w:val="32"/>
          <w:szCs w:val="32"/>
        </w:rPr>
        <w:t xml:space="preserve">Глава 4. Права и обязанности получателя</w:t>
      </w:r>
    </w:p>
    <w:p>
      <w:pPr>
        <w:spacing w:after="60"/>
        <w:ind w:firstLine="567"/>
        <w:jc w:val="both"/>
      </w:pPr>
      <w:r>
        <w:rPr>
          <w:rFonts w:ascii="Arial" w:cs="Arial" w:eastAsia="Arial" w:hAnsi="Arial"/>
          <w:sz w:val="24"/>
          <w:szCs w:val="24"/>
        </w:rPr>
        <w:t xml:space="preserve">4.1. Получатель обязуется вести учет средств, полученных на основе настоящего Договора.</w:t>
      </w:r>
    </w:p>
    <w:p>
      <w:pPr>
        <w:spacing w:after="60"/>
        <w:ind w:firstLine="567"/>
        <w:jc w:val="both"/>
      </w:pPr>
      <w:r>
        <w:rPr>
          <w:rFonts w:ascii="Arial" w:cs="Arial" w:eastAsia="Arial" w:hAnsi="Arial"/>
          <w:sz w:val="24"/>
          <w:szCs w:val="24"/>
        </w:rPr>
        <w:t xml:space="preserve">4.2. Получатель обязуется представлять Фонду отчет об использовании денежных средств по форме и в сроки, установленные настоящим Договором (</w:t>
      </w:r>
      <w:hyperlink w:history="1" r:id="rIdvb3njrafnsfyjz72co2gp">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Договору.</w:t>
      </w:r>
    </w:p>
    <w:p>
      <w:pPr>
        <w:spacing w:after="60"/>
        <w:ind w:firstLine="567"/>
        <w:jc w:val="both"/>
      </w:pPr>
      <w:r>
        <w:rPr>
          <w:rFonts w:ascii="Arial" w:cs="Arial" w:eastAsia="Arial" w:hAnsi="Arial"/>
          <w:sz w:val="24"/>
          <w:szCs w:val="24"/>
        </w:rPr>
        <w:t xml:space="preserve">4.3. Получатель обязуется:</w:t>
      </w:r>
    </w:p>
    <w:p>
      <w:pPr>
        <w:spacing w:after="60"/>
        <w:ind w:firstLine="567"/>
        <w:jc w:val="both"/>
      </w:pPr>
      <w:r>
        <w:rPr>
          <w:rFonts w:ascii="Arial" w:cs="Arial" w:eastAsia="Arial" w:hAnsi="Arial"/>
          <w:sz w:val="24"/>
          <w:szCs w:val="24"/>
        </w:rPr>
        <w:t xml:space="preserve">4.3.1. Обеспечить использование денежных средств исключительно на цели, определенные настоящим Договором, в соответствии со Сметой Проекта.</w:t>
      </w:r>
    </w:p>
    <w:p>
      <w:pPr>
        <w:spacing w:after="60"/>
        <w:ind w:firstLine="567"/>
        <w:jc w:val="both"/>
      </w:pPr>
      <w:r>
        <w:rPr>
          <w:rFonts w:ascii="Arial" w:cs="Arial" w:eastAsia="Arial" w:hAnsi="Arial"/>
          <w:sz w:val="24"/>
          <w:szCs w:val="24"/>
        </w:rPr>
        <w:t xml:space="preserve">4.3.2. Обеспечить реализацию проекта в полном объеме в соответствии с требованиями, установленными в Плане, и в установленные настоящим Договором сроки.</w:t>
      </w:r>
    </w:p>
    <w:p>
      <w:pPr>
        <w:spacing w:after="60"/>
        <w:ind w:firstLine="567"/>
        <w:jc w:val="both"/>
      </w:pPr>
      <w:r>
        <w:rPr>
          <w:rFonts w:ascii="Arial" w:cs="Arial" w:eastAsia="Arial" w:hAnsi="Arial"/>
          <w:sz w:val="24"/>
          <w:szCs w:val="24"/>
        </w:rPr>
        <w:t xml:space="preserve">4.3.3. Предоставлять на ежеквартальной основе Фонду отчет о ходе реализации проекта. При наличии замечаний Фонда, отступления от Плана, Сметы и Плана финансирования Получатель обязан, по согласованию с Фондом, внести соответствующие изменения.</w:t>
      </w:r>
    </w:p>
    <w:p>
      <w:pPr>
        <w:spacing w:after="60"/>
        <w:ind w:firstLine="567"/>
        <w:jc w:val="both"/>
      </w:pPr>
      <w:r>
        <w:rPr>
          <w:rFonts w:ascii="Arial" w:cs="Arial" w:eastAsia="Arial" w:hAnsi="Arial"/>
          <w:sz w:val="24"/>
          <w:szCs w:val="24"/>
        </w:rPr>
        <w:t xml:space="preserve">4.4. Получатель должен незамедлительно информировать Фонд о невозможности реализации, либо невозможности продолжения реализации проекта. В этом случае Получатель в течение 3 (трех) банковских дней должен обеспечить возврат неосвоенных денежных средств со счетов подрядчика в течение 10 (десяти) рабочих дней представить Фонду отчет о целевом использовании денежных средств согласно главе 5 настоящего Договора.</w:t>
      </w:r>
    </w:p>
    <w:p>
      <w:pPr>
        <w:spacing w:after="240" w:before="240"/>
        <w:jc w:val="center"/>
      </w:pPr>
      <w:r>
        <w:rPr>
          <w:rFonts w:ascii="Arial" w:cs="Arial" w:eastAsia="Arial" w:hAnsi="Arial"/>
          <w:b/>
          <w:bCs/>
          <w:sz w:val="32"/>
          <w:szCs w:val="32"/>
        </w:rPr>
        <w:t xml:space="preserve">Глава 5. Отчетность и контроль</w:t>
      </w:r>
    </w:p>
    <w:p>
      <w:pPr>
        <w:spacing w:after="60"/>
        <w:ind w:firstLine="567"/>
        <w:jc w:val="both"/>
      </w:pPr>
      <w:r>
        <w:rPr>
          <w:rFonts w:ascii="Arial" w:cs="Arial" w:eastAsia="Arial" w:hAnsi="Arial"/>
          <w:sz w:val="24"/>
          <w:szCs w:val="24"/>
        </w:rPr>
        <w:t xml:space="preserve">5.1. Письменный отчет об использовании денежных средств и реализации проекта представляется Получателем Фонду не позднее 1 месяца после завершения проекта в 2 (двух) экземплярах, содержащий информацию в соответствии с Планом, Сметой и Планом финансирования по достижению поставленных проектом целей.</w:t>
      </w:r>
    </w:p>
    <w:p>
      <w:pPr>
        <w:spacing w:after="60"/>
        <w:ind w:firstLine="567"/>
        <w:jc w:val="both"/>
      </w:pPr>
      <w:r>
        <w:rPr>
          <w:rFonts w:ascii="Arial" w:cs="Arial" w:eastAsia="Arial" w:hAnsi="Arial"/>
          <w:sz w:val="24"/>
          <w:szCs w:val="24"/>
        </w:rPr>
        <w:t xml:space="preserve">5.2. Фонд вправе разместить фото- и (или) видеоотчеты и другую информацию о проекте в полном объеме либо в любой их части в средствах массовой информации и в сети Интернет.</w:t>
      </w:r>
    </w:p>
    <w:p>
      <w:pPr>
        <w:spacing w:after="60"/>
        <w:ind w:firstLine="567"/>
        <w:jc w:val="both"/>
      </w:pPr>
      <w:r>
        <w:rPr>
          <w:rFonts w:ascii="Arial" w:cs="Arial" w:eastAsia="Arial" w:hAnsi="Arial"/>
          <w:sz w:val="24"/>
          <w:szCs w:val="24"/>
        </w:rPr>
        <w:t xml:space="preserve">5.3. Фонд, получив от Получателя отчет, рассмотрит его и оценит его полноту и достоверность. В процессе рассмотрения отчета Фонд вправе запросить у Получателя любую документацию и (или) информацию о ходе реализации проекта, необходимую для получения полного представления о реализации проекта, его итогах и целевом характере расходования денежных средств, а Получатель должен ее предоставить.</w:t>
      </w:r>
    </w:p>
    <w:p>
      <w:pPr>
        <w:spacing w:after="60"/>
        <w:ind w:firstLine="567"/>
        <w:jc w:val="both"/>
      </w:pPr>
      <w:r>
        <w:rPr>
          <w:rFonts w:ascii="Arial" w:cs="Arial" w:eastAsia="Arial" w:hAnsi="Arial"/>
          <w:sz w:val="24"/>
          <w:szCs w:val="24"/>
        </w:rPr>
        <w:t xml:space="preserve">5.4. Фонд имеет право потребовать исправления или доработки проекта и отчета об использовании денежных средств, а Получатель должен выполнить это требование Фонда в сроки, согласованные Сторонами.</w:t>
      </w:r>
    </w:p>
    <w:p>
      <w:pPr>
        <w:spacing w:after="60"/>
        <w:ind w:firstLine="567"/>
        <w:jc w:val="both"/>
      </w:pPr>
      <w:r>
        <w:rPr>
          <w:rFonts w:ascii="Arial" w:cs="Arial" w:eastAsia="Arial" w:hAnsi="Arial"/>
          <w:sz w:val="24"/>
          <w:szCs w:val="24"/>
        </w:rPr>
        <w:t xml:space="preserve">5.5. Фонд утверждает отчет, если он не оставляет сомнений в том, что денежные средства израсходован по целевому назначению в соответствии с настоящим Договором, и возвращает один экземпляр отчета Получателю.</w:t>
      </w:r>
    </w:p>
    <w:p>
      <w:pPr>
        <w:spacing w:after="60"/>
        <w:ind w:firstLine="567"/>
        <w:jc w:val="both"/>
      </w:pPr>
      <w:r>
        <w:rPr>
          <w:rFonts w:ascii="Arial" w:cs="Arial" w:eastAsia="Arial" w:hAnsi="Arial"/>
          <w:sz w:val="24"/>
          <w:szCs w:val="24"/>
        </w:rPr>
        <w:t xml:space="preserve">5.6. Обязательства Получателя по настоящему Договору считаются исполненными с момента утверждения Фондом отчета Получателя.</w:t>
      </w:r>
    </w:p>
    <w:p>
      <w:pPr>
        <w:spacing w:after="240" w:before="240"/>
        <w:jc w:val="center"/>
      </w:pPr>
      <w:r>
        <w:rPr>
          <w:rFonts w:ascii="Arial" w:cs="Arial" w:eastAsia="Arial" w:hAnsi="Arial"/>
          <w:b/>
          <w:bCs/>
          <w:sz w:val="32"/>
          <w:szCs w:val="32"/>
        </w:rPr>
        <w:t xml:space="preserve">6. Ответственность сторон</w:t>
      </w:r>
    </w:p>
    <w:p>
      <w:pPr>
        <w:spacing w:after="60"/>
        <w:ind w:firstLine="567"/>
        <w:jc w:val="both"/>
      </w:pPr>
      <w:r>
        <w:rPr>
          <w:rFonts w:ascii="Arial" w:cs="Arial" w:eastAsia="Arial" w:hAnsi="Arial"/>
          <w:sz w:val="24"/>
          <w:szCs w:val="24"/>
        </w:rPr>
        <w:t xml:space="preserve">6.1. Стороны несут имущественную ответственность за ненадлежащее выполнение своих обязанностей по настоящему Договору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6.2. Привлечение третьих лиц для реализации проекта не освобождает Получателя от ответственности перед Фондом за надлежащее исполнение настоящего Договора.</w:t>
      </w:r>
    </w:p>
    <w:p>
      <w:pPr>
        <w:spacing w:after="60"/>
        <w:ind w:firstLine="567"/>
        <w:jc w:val="both"/>
      </w:pPr>
      <w:r>
        <w:rPr>
          <w:rFonts w:ascii="Arial" w:cs="Arial" w:eastAsia="Arial" w:hAnsi="Arial"/>
          <w:sz w:val="24"/>
          <w:szCs w:val="24"/>
        </w:rPr>
        <w:t xml:space="preserve">6.3. Неисполнение Получателем основных условий предоставления денежных средств, а также непредставление отчета о их целевом использовании денежных средств, подтверждающей документации, запрашиваемой Фондом, в установленные настоящим Договором сроки, либо включение в указанные отчеты недостоверных или фальсифицированных сведений рассматривается как неисполнение Получателем своих обязательств по целевому использованию денежных средств.</w:t>
      </w:r>
    </w:p>
    <w:p>
      <w:pPr>
        <w:spacing w:after="60"/>
        <w:ind w:firstLine="567"/>
        <w:jc w:val="both"/>
      </w:pPr>
      <w:r>
        <w:rPr>
          <w:rFonts w:ascii="Arial" w:cs="Arial" w:eastAsia="Arial" w:hAnsi="Arial"/>
          <w:sz w:val="24"/>
          <w:szCs w:val="24"/>
        </w:rPr>
        <w:t xml:space="preserve">6.4. В случае неисполнения Получателем своих обязательств по целевому использованию денежных средств, Фонд вправе потребовать от Получателя их возврата, а также инициировать перед правоохранительными и фискальными органами процедуру наложения административной или уголовной ответственности в соответствии с законодательством Кыргызской Республики.</w:t>
      </w:r>
    </w:p>
    <w:p>
      <w:pPr>
        <w:spacing w:after="240" w:before="240"/>
        <w:jc w:val="center"/>
      </w:pPr>
      <w:r>
        <w:rPr>
          <w:rFonts w:ascii="Arial" w:cs="Arial" w:eastAsia="Arial" w:hAnsi="Arial"/>
          <w:b/>
          <w:bCs/>
          <w:sz w:val="32"/>
          <w:szCs w:val="32"/>
        </w:rPr>
        <w:t xml:space="preserve">7. Досрочное расторжение и изменение настоящего Договора</w:t>
      </w:r>
    </w:p>
    <w:p>
      <w:pPr>
        <w:spacing w:after="60"/>
        <w:ind w:firstLine="567"/>
        <w:jc w:val="both"/>
      </w:pPr>
      <w:r>
        <w:rPr>
          <w:rFonts w:ascii="Arial" w:cs="Arial" w:eastAsia="Arial" w:hAnsi="Arial"/>
          <w:sz w:val="24"/>
          <w:szCs w:val="24"/>
        </w:rPr>
        <w:t xml:space="preserve">7.1. Настоящий Договор вступает в силу с момента подписания уполномоченными представителями Сторон и действует до полного исполнения Сторонами своих договорных обязательств.</w:t>
      </w:r>
    </w:p>
    <w:p>
      <w:pPr>
        <w:spacing w:after="60"/>
        <w:ind w:firstLine="567"/>
        <w:jc w:val="both"/>
      </w:pPr>
      <w:r>
        <w:rPr>
          <w:rFonts w:ascii="Arial" w:cs="Arial" w:eastAsia="Arial" w:hAnsi="Arial"/>
          <w:sz w:val="24"/>
          <w:szCs w:val="24"/>
        </w:rPr>
        <w:t xml:space="preserve">7.2. Настоящий Договор может быть расторгнут по соглашению Сторон либо по решению суда (по требованию одной из Сторон) в порядке и по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7.3. Односторонний отказ от исполнения взятых по настоящему Договору обязательств является недопустимым, за исключением случаев, когда односторонний отказ осуществляется Фондом при выявлении им очевидной невозможности получения ожидаемых результатов по социально значимому проекту, нецелевого использования денежных средств и иных случаев, предусмотренных настоящим Договором.</w:t>
      </w:r>
    </w:p>
    <w:p>
      <w:pPr>
        <w:spacing w:after="60"/>
        <w:ind w:firstLine="567"/>
        <w:jc w:val="both"/>
      </w:pPr>
      <w:r>
        <w:rPr>
          <w:rFonts w:ascii="Arial" w:cs="Arial" w:eastAsia="Arial" w:hAnsi="Arial"/>
          <w:sz w:val="24"/>
          <w:szCs w:val="24"/>
        </w:rPr>
        <w:t xml:space="preserve">7.4. Любые изменения и дополнения, дополнительные соглашения к настоящему Договору действительны при условии, если они совершены в письменной форме и подписаны уполномоченными на то представителями Сторон.</w:t>
      </w:r>
    </w:p>
    <w:p>
      <w:pPr>
        <w:spacing w:after="240" w:before="240"/>
        <w:jc w:val="center"/>
      </w:pPr>
      <w:r>
        <w:rPr>
          <w:rFonts w:ascii="Arial" w:cs="Arial" w:eastAsia="Arial" w:hAnsi="Arial"/>
          <w:b/>
          <w:bCs/>
          <w:sz w:val="32"/>
          <w:szCs w:val="32"/>
        </w:rPr>
        <w:t xml:space="preserve">8. Разрешение споров</w:t>
      </w:r>
    </w:p>
    <w:p>
      <w:pPr>
        <w:spacing w:after="60"/>
        <w:ind w:firstLine="567"/>
        <w:jc w:val="both"/>
      </w:pPr>
      <w:r>
        <w:rPr>
          <w:rFonts w:ascii="Arial" w:cs="Arial" w:eastAsia="Arial" w:hAnsi="Arial"/>
          <w:sz w:val="24"/>
          <w:szCs w:val="24"/>
        </w:rPr>
        <w:t xml:space="preserve">8.1. В случае возникновения споров по настоящему Договору Стороны примут меры к разрешению их путем переговоров.</w:t>
      </w:r>
    </w:p>
    <w:p>
      <w:pPr>
        <w:spacing w:after="60"/>
        <w:ind w:firstLine="567"/>
        <w:jc w:val="both"/>
      </w:pPr>
      <w:r>
        <w:rPr>
          <w:rFonts w:ascii="Arial" w:cs="Arial" w:eastAsia="Arial" w:hAnsi="Arial"/>
          <w:sz w:val="24"/>
          <w:szCs w:val="24"/>
        </w:rPr>
        <w:t xml:space="preserve">8.2. В случае невозможности урегулирования споров и разногласий путем переговоров спорный вопрос будет рассмотрен в соответствии с действующим законодательством.</w:t>
      </w:r>
    </w:p>
    <w:p>
      <w:pPr>
        <w:spacing w:after="240" w:before="240"/>
        <w:jc w:val="center"/>
      </w:pPr>
      <w:r>
        <w:rPr>
          <w:rFonts w:ascii="Arial" w:cs="Arial" w:eastAsia="Arial" w:hAnsi="Arial"/>
          <w:b/>
          <w:bCs/>
          <w:sz w:val="32"/>
          <w:szCs w:val="32"/>
        </w:rPr>
        <w:t xml:space="preserve">9. Заключительные положения</w:t>
      </w:r>
    </w:p>
    <w:p>
      <w:pPr>
        <w:spacing w:after="60"/>
        <w:ind w:firstLine="567"/>
        <w:jc w:val="both"/>
      </w:pPr>
      <w:r>
        <w:rPr>
          <w:rFonts w:ascii="Arial" w:cs="Arial" w:eastAsia="Arial" w:hAnsi="Arial"/>
          <w:sz w:val="24"/>
          <w:szCs w:val="24"/>
        </w:rPr>
        <w:t xml:space="preserve">9.1. Стороны освобождаются от частичного или полного исполнения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pPr>
        <w:spacing w:after="60"/>
        <w:ind w:firstLine="567"/>
        <w:jc w:val="both"/>
      </w:pPr>
      <w:r>
        <w:rPr>
          <w:rFonts w:ascii="Arial" w:cs="Arial" w:eastAsia="Arial" w:hAnsi="Arial"/>
          <w:sz w:val="24"/>
          <w:szCs w:val="24"/>
        </w:rPr>
        <w:t xml:space="preserve">9.2. Все уведомления и сообщения должны направляться в письменной форме. Уведомления и сообщения будут считаться исполненными надлежащим образом, если они посланы заказным письмом или переданы под расписку соответствующим представителям Стороны.</w:t>
      </w:r>
    </w:p>
    <w:p>
      <w:pPr>
        <w:spacing w:after="60"/>
        <w:ind w:firstLine="567"/>
        <w:jc w:val="both"/>
      </w:pPr>
      <w:r>
        <w:rPr>
          <w:rFonts w:ascii="Arial" w:cs="Arial" w:eastAsia="Arial" w:hAnsi="Arial"/>
          <w:sz w:val="24"/>
          <w:szCs w:val="24"/>
        </w:rPr>
        <w:t xml:space="preserve">Для оперативного обмена информацией и документами Стороны могут использовать телефон, факс, электронную почту, с обязательным направлением оригинала документа в порядке, установленном настоящим пунктом, не позднее 2 (двух) дней с момента направления документа посредством факса, электронной почты.</w:t>
      </w:r>
    </w:p>
    <w:p>
      <w:pPr>
        <w:spacing w:after="60"/>
        <w:ind w:firstLine="567"/>
        <w:jc w:val="both"/>
      </w:pPr>
      <w:r>
        <w:rPr>
          <w:rFonts w:ascii="Arial" w:cs="Arial" w:eastAsia="Arial" w:hAnsi="Arial"/>
          <w:sz w:val="24"/>
          <w:szCs w:val="24"/>
        </w:rPr>
        <w:t xml:space="preserve">9.3. Настоящий Договор составлен в двух экземплярах, имеющих одинаковую юридическую силу, по одному для каждой из Сторон.</w:t>
      </w:r>
    </w:p>
    <w:p>
      <w:pPr>
        <w:spacing w:after="240" w:before="240"/>
        <w:jc w:val="center"/>
      </w:pPr>
      <w:r>
        <w:rPr>
          <w:rFonts w:ascii="Arial" w:cs="Arial" w:eastAsia="Arial" w:hAnsi="Arial"/>
          <w:b/>
          <w:bCs/>
          <w:sz w:val="32"/>
          <w:szCs w:val="32"/>
        </w:rPr>
        <w:t xml:space="preserve">10. Приложения к договору</w:t>
      </w:r>
    </w:p>
    <w:p>
      <w:pPr>
        <w:spacing w:after="60"/>
        <w:ind w:firstLine="567"/>
        <w:jc w:val="both"/>
      </w:pPr>
      <w:r>
        <w:rPr>
          <w:rFonts w:ascii="Arial" w:cs="Arial" w:eastAsia="Arial" w:hAnsi="Arial"/>
          <w:sz w:val="24"/>
          <w:szCs w:val="24"/>
        </w:rPr>
        <w:t xml:space="preserve">Приложение 1 - План реализации Проекта.</w:t>
      </w:r>
    </w:p>
    <w:p>
      <w:pPr>
        <w:spacing w:after="60"/>
        <w:ind w:firstLine="567"/>
        <w:jc w:val="both"/>
      </w:pPr>
      <w:r>
        <w:rPr>
          <w:rFonts w:ascii="Arial" w:cs="Arial" w:eastAsia="Arial" w:hAnsi="Arial"/>
          <w:sz w:val="24"/>
          <w:szCs w:val="24"/>
        </w:rPr>
        <w:t xml:space="preserve">Приложение 2 - Смета Проекта.</w:t>
      </w:r>
    </w:p>
    <w:p>
      <w:pPr>
        <w:spacing w:after="60"/>
        <w:ind w:firstLine="567"/>
        <w:jc w:val="both"/>
      </w:pPr>
      <w:r>
        <w:rPr>
          <w:rFonts w:ascii="Arial" w:cs="Arial" w:eastAsia="Arial" w:hAnsi="Arial"/>
          <w:sz w:val="24"/>
          <w:szCs w:val="24"/>
        </w:rPr>
        <w:t xml:space="preserve">Приложение 3 - План финансирования Проекта.</w:t>
      </w:r>
    </w:p>
    <w:p>
      <w:pPr>
        <w:spacing w:after="240" w:before="240"/>
        <w:jc w:val="center"/>
      </w:pPr>
      <w:r>
        <w:rPr>
          <w:rFonts w:ascii="Arial" w:cs="Arial" w:eastAsia="Arial" w:hAnsi="Arial"/>
          <w:b/>
          <w:bCs/>
          <w:sz w:val="32"/>
          <w:szCs w:val="32"/>
        </w:rPr>
        <w:t xml:space="preserve">11. Реквизиты и подписи сторон</w:t>
      </w:r>
    </w:p>
    <w:p>
      <w:pPr>
        <w:tabs>
          <w:tab w:val="right" w:pos="10178"/>
        </w:tabs>
        <w:spacing w:after="120"/>
      </w:pPr>
      <w:r>
        <w:rPr>
          <w:rFonts w:ascii="Arial" w:cs="Arial" w:eastAsia="Arial" w:hAnsi="Arial"/>
          <w:sz w:val="24"/>
          <w:szCs w:val="24"/>
        </w:rPr>
        <w:t xml:space="preserve">Фонд:</w:t>
      </w:r>
      <w:r>
        <w:rPr>
          <w:rFonts w:ascii="Arial" w:cs="Arial" w:eastAsia="Arial" w:hAnsi="Arial"/>
          <w:sz w:val="24"/>
          <w:szCs w:val="24"/>
        </w:rPr>
        <w:t xml:space="preserve">	</w:t>
      </w:r>
      <w:r>
        <w:rPr>
          <w:rFonts w:ascii="Arial" w:cs="Arial" w:eastAsia="Arial" w:hAnsi="Arial"/>
          <w:sz w:val="24"/>
          <w:szCs w:val="24"/>
        </w:rPr>
        <w:t xml:space="preserve">Получатель:</w:t>
      </w:r>
    </w:p>
    <w:p>
      <w:pPr>
        <w:spacing w:after="60"/>
        <w:jc w:val="right"/>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Приложение 1</w:t>
      </w:r>
    </w:p>
    <w:p>
      <w:pPr>
        <w:spacing w:after="60"/>
        <w:jc w:val="right"/>
      </w:pPr>
      <w:r>
        <w:rPr>
          <w:rFonts w:ascii="Arial" w:cs="Arial" w:eastAsia="Arial" w:hAnsi="Arial"/>
          <w:sz w:val="24"/>
          <w:szCs w:val="24"/>
        </w:rPr>
        <w:t xml:space="preserve">к Договору о</w:t>
      </w:r>
    </w:p>
    <w:p>
      <w:pPr>
        <w:spacing w:after="60"/>
        <w:jc w:val="right"/>
      </w:pPr>
      <w:r>
        <w:rPr>
          <w:rFonts w:ascii="Arial" w:cs="Arial" w:eastAsia="Arial" w:hAnsi="Arial"/>
          <w:sz w:val="24"/>
          <w:szCs w:val="24"/>
        </w:rPr>
        <w:t xml:space="preserve">целевом финансировании</w:t>
      </w:r>
    </w:p>
    <w:p>
      <w:pPr>
        <w:spacing w:after="60"/>
        <w:ind w:firstLine="567"/>
        <w:jc w:val="both"/>
      </w:pPr>
      <w:r>
        <w:rPr>
          <w:rFonts w:ascii="Arial" w:cs="Arial" w:eastAsia="Arial" w:hAnsi="Arial"/>
          <w:sz w:val="24"/>
          <w:szCs w:val="24"/>
        </w:rPr>
        <w:t xml:space="preserve">Форма</w:t>
      </w:r>
    </w:p>
    <w:p>
      <w:pPr>
        <w:spacing w:after="60" w:before="200"/>
        <w:ind w:firstLine="567"/>
        <w:jc w:val="center"/>
      </w:pPr>
      <w:r>
        <w:rPr>
          <w:rFonts w:ascii="Arial" w:cs="Arial" w:eastAsia="Arial" w:hAnsi="Arial"/>
          <w:b/>
          <w:bCs/>
          <w:sz w:val="32"/>
          <w:szCs w:val="32"/>
        </w:rPr>
        <w:t xml:space="preserve">План реализации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3"/>
        <w:gridCol w:w="2852"/>
        <w:gridCol w:w="2581"/>
        <w:gridCol w:w="2041"/>
        <w:gridCol w:w="2172"/>
      </w:tblGrid>
      <w:tr>
        <w:tc>
          <w:tcPr>
            <w:tcW w:type="dxa" w:w="533"/>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28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мероприятия</w:t>
            </w:r>
          </w:p>
        </w:tc>
        <w:tc>
          <w:tcPr>
            <w:tcW w:type="dxa" w:w="25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c>
          <w:tcPr>
            <w:tcW w:type="dxa" w:w="20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Ресурсы</w:t>
            </w:r>
          </w:p>
        </w:tc>
        <w:tc>
          <w:tcPr>
            <w:tcW w:type="dxa" w:w="2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tcW w:type="dxa" w:w="5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15451"/>
        <w:jc w:val="right"/>
      </w:pPr>
      <w:r>
        <w:rPr>
          <w:rFonts w:ascii="Arial" w:cs="Arial" w:eastAsia="Arial" w:hAnsi="Arial"/>
          <w:sz w:val="24"/>
          <w:szCs w:val="24"/>
        </w:rPr>
        <w:t xml:space="preserve">Приложение 2</w:t>
      </w:r>
    </w:p>
    <w:p>
      <w:pPr>
        <w:spacing w:after="60"/>
        <w:ind w:firstLine="15451"/>
        <w:jc w:val="right"/>
      </w:pPr>
      <w:r>
        <w:rPr>
          <w:rFonts w:ascii="Arial" w:cs="Arial" w:eastAsia="Arial" w:hAnsi="Arial"/>
          <w:sz w:val="24"/>
          <w:szCs w:val="24"/>
        </w:rPr>
        <w:t xml:space="preserve">к Договору о</w:t>
      </w:r>
    </w:p>
    <w:p>
      <w:pPr>
        <w:spacing w:after="60"/>
        <w:ind w:firstLine="15451"/>
        <w:jc w:val="right"/>
      </w:pPr>
      <w:r>
        <w:rPr>
          <w:rFonts w:ascii="Arial" w:cs="Arial" w:eastAsia="Arial" w:hAnsi="Arial"/>
          <w:sz w:val="24"/>
          <w:szCs w:val="24"/>
        </w:rPr>
        <w:t xml:space="preserve">целевом финансировании</w:t>
      </w:r>
    </w:p>
    <w:p>
      <w:pPr>
        <w:spacing w:after="60"/>
        <w:ind w:firstLine="567"/>
        <w:jc w:val="both"/>
      </w:pPr>
      <w:r>
        <w:rPr>
          <w:rFonts w:ascii="Arial" w:cs="Arial" w:eastAsia="Arial" w:hAnsi="Arial"/>
          <w:sz w:val="24"/>
          <w:szCs w:val="24"/>
        </w:rPr>
        <w:t xml:space="preserve">Форма</w:t>
      </w:r>
    </w:p>
    <w:p>
      <w:pPr>
        <w:spacing w:after="60" w:before="200"/>
        <w:ind w:firstLine="567"/>
        <w:jc w:val="center"/>
      </w:pPr>
      <w:r>
        <w:rPr>
          <w:rFonts w:ascii="Arial" w:cs="Arial" w:eastAsia="Arial" w:hAnsi="Arial"/>
          <w:b/>
          <w:bCs/>
          <w:sz w:val="32"/>
          <w:szCs w:val="32"/>
        </w:rPr>
        <w:t xml:space="preserve">Схема расходов покрываемых за счет Получателя и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4"/>
        <w:gridCol w:w="2850"/>
        <w:gridCol w:w="2308"/>
        <w:gridCol w:w="2308"/>
        <w:gridCol w:w="2177"/>
      </w:tblGrid>
      <w:tr>
        <w:tc>
          <w:tcPr>
            <w:tcW w:type="dxa" w:w="53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28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расходов</w:t>
            </w:r>
          </w:p>
        </w:tc>
        <w:tc>
          <w:tcPr>
            <w:tcW w:type="dxa" w:w="46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затрат (сом)</w:t>
            </w:r>
          </w:p>
        </w:tc>
        <w:tc>
          <w:tcPr>
            <w:tcW w:type="dxa" w:w="21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Примечение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Планируемая  сумма</w:t>
            </w:r>
          </w:p>
        </w:tc>
        <w:tc>
          <w:tcPr>
            <w:tcW w:type="dxa" w:w="2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Затраченная сумма</w:t>
            </w:r>
          </w:p>
        </w:tc>
        <w:tc>
          <w:tcPr>
            <w:vMerge w:val="continue"/>
            <w:tcBorders>
              <w:top w:val="single" w:color="CBBF9E" w:sz="4"/>
              <w:left w:val="none" w:color="auto" w:sz="0"/>
              <w:bottom w:val="single" w:color="CBBF9E" w:sz="4"/>
              <w:right w:val="single" w:color="CBBF9E" w:sz="4"/>
            </w:tcBorders>
          </w:tcPr>
          <w:p/>
        </w:tc>
      </w:tr>
      <w:tr>
        <w:tc>
          <w:tcPr>
            <w:tcW w:type="dxa" w:w="5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15451"/>
        <w:jc w:val="right"/>
      </w:pPr>
      <w:r>
        <w:rPr>
          <w:rFonts w:ascii="Arial" w:cs="Arial" w:eastAsia="Arial" w:hAnsi="Arial"/>
          <w:sz w:val="24"/>
          <w:szCs w:val="24"/>
        </w:rPr>
        <w:t xml:space="preserve">Приложение 3</w:t>
      </w:r>
    </w:p>
    <w:p>
      <w:pPr>
        <w:spacing w:after="60"/>
        <w:ind w:firstLine="15451"/>
        <w:jc w:val="right"/>
      </w:pPr>
      <w:r>
        <w:rPr>
          <w:rFonts w:ascii="Arial" w:cs="Arial" w:eastAsia="Arial" w:hAnsi="Arial"/>
          <w:sz w:val="24"/>
          <w:szCs w:val="24"/>
        </w:rPr>
        <w:t xml:space="preserve">к Договору о</w:t>
      </w:r>
    </w:p>
    <w:p>
      <w:pPr>
        <w:spacing w:after="60"/>
        <w:ind w:firstLine="15451"/>
        <w:jc w:val="right"/>
      </w:pPr>
      <w:r>
        <w:rPr>
          <w:rFonts w:ascii="Arial" w:cs="Arial" w:eastAsia="Arial" w:hAnsi="Arial"/>
          <w:sz w:val="24"/>
          <w:szCs w:val="24"/>
        </w:rPr>
        <w:t xml:space="preserve">целевом финансировании</w:t>
      </w:r>
    </w:p>
    <w:p>
      <w:pPr>
        <w:spacing w:after="60"/>
        <w:ind w:firstLine="567"/>
        <w:jc w:val="both"/>
      </w:pPr>
      <w:r>
        <w:rPr>
          <w:rFonts w:ascii="Arial" w:cs="Arial" w:eastAsia="Arial" w:hAnsi="Arial"/>
          <w:sz w:val="24"/>
          <w:szCs w:val="24"/>
        </w:rPr>
        <w:t xml:space="preserve">Форма</w:t>
      </w:r>
    </w:p>
    <w:p>
      <w:pPr>
        <w:spacing w:after="60" w:before="200"/>
        <w:ind w:firstLine="567"/>
        <w:jc w:val="center"/>
      </w:pPr>
      <w:r>
        <w:rPr>
          <w:rFonts w:ascii="Arial" w:cs="Arial" w:eastAsia="Arial" w:hAnsi="Arial"/>
          <w:b/>
          <w:bCs/>
          <w:sz w:val="32"/>
          <w:szCs w:val="32"/>
        </w:rPr>
        <w:t xml:space="preserve">План финансирования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6"/>
        <w:gridCol w:w="2508"/>
        <w:gridCol w:w="2409"/>
        <w:gridCol w:w="1184"/>
        <w:gridCol w:w="1184"/>
        <w:gridCol w:w="1184"/>
        <w:gridCol w:w="1184"/>
      </w:tblGrid>
      <w:tr>
        <w:tc>
          <w:tcPr>
            <w:tcW w:type="dxa" w:w="5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задачи/меры</w:t>
            </w:r>
          </w:p>
        </w:tc>
        <w:tc>
          <w:tcPr>
            <w:tcW w:type="dxa" w:w="24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финансирования </w:t>
            </w:r>
          </w:p>
        </w:tc>
        <w:tc>
          <w:tcPr>
            <w:tcW w:type="dxa" w:w="473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финансирования (период)</w:t>
            </w:r>
          </w:p>
        </w:tc>
      </w:tr>
      <w:tr>
        <w:tc>
          <w:tcPr>
            <w:tcW w:type="dxa" w:w="5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1-кв</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2-кв</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3-кв</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4-кв</w:t>
            </w:r>
          </w:p>
        </w:tc>
      </w:tr>
      <w:tr>
        <w:tc>
          <w:tcPr>
            <w:tcW w:type="dxa" w:w="5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15593"/>
        <w:jc w:val="right"/>
      </w:pPr>
      <w:r>
        <w:rPr>
          <w:rFonts w:ascii="Arial" w:cs="Arial" w:eastAsia="Arial" w:hAnsi="Arial"/>
          <w:sz w:val="24"/>
          <w:szCs w:val="24"/>
        </w:rPr>
        <w:t xml:space="preserve">Приложение 4</w:t>
      </w:r>
    </w:p>
    <w:p>
      <w:pPr>
        <w:spacing w:after="60"/>
        <w:ind w:firstLine="15593"/>
        <w:jc w:val="right"/>
      </w:pPr>
      <w:r>
        <w:rPr>
          <w:rFonts w:ascii="Arial" w:cs="Arial" w:eastAsia="Arial" w:hAnsi="Arial"/>
          <w:sz w:val="24"/>
          <w:szCs w:val="24"/>
        </w:rPr>
        <w:t xml:space="preserve">к Договору о</w:t>
      </w:r>
    </w:p>
    <w:p>
      <w:pPr>
        <w:spacing w:after="60"/>
        <w:ind w:firstLine="15593"/>
        <w:jc w:val="right"/>
      </w:pPr>
      <w:r>
        <w:rPr>
          <w:rFonts w:ascii="Arial" w:cs="Arial" w:eastAsia="Arial" w:hAnsi="Arial"/>
          <w:sz w:val="24"/>
          <w:szCs w:val="24"/>
        </w:rPr>
        <w:t xml:space="preserve">целевом финансировании</w:t>
      </w:r>
    </w:p>
    <w:p>
      <w:pPr>
        <w:spacing w:after="60"/>
        <w:ind w:firstLine="567"/>
        <w:jc w:val="both"/>
      </w:pPr>
      <w:r>
        <w:rPr>
          <w:rFonts w:ascii="Arial" w:cs="Arial" w:eastAsia="Arial" w:hAnsi="Arial"/>
          <w:sz w:val="24"/>
          <w:szCs w:val="24"/>
        </w:rPr>
        <w:t xml:space="preserve">Форма</w:t>
      </w:r>
    </w:p>
    <w:p>
      <w:pPr>
        <w:spacing w:after="60" w:before="200"/>
        <w:ind w:firstLine="567"/>
        <w:jc w:val="center"/>
      </w:pPr>
      <w:r>
        <w:rPr>
          <w:rFonts w:ascii="Arial" w:cs="Arial" w:eastAsia="Arial" w:hAnsi="Arial"/>
          <w:b/>
          <w:bCs/>
          <w:sz w:val="32"/>
          <w:szCs w:val="32"/>
        </w:rPr>
        <w:t xml:space="preserve">Отчет об использовании денежных средств</w:t>
      </w:r>
    </w:p>
    <w:p>
      <w:pPr>
        <w:spacing w:after="60"/>
        <w:ind w:firstLine="567"/>
        <w:jc w:val="both"/>
      </w:pPr>
      <w:r>
        <w:rPr>
          <w:rFonts w:ascii="Arial" w:cs="Arial" w:eastAsia="Arial" w:hAnsi="Arial"/>
          <w:sz w:val="24"/>
          <w:szCs w:val="24"/>
        </w:rPr>
        <w:t xml:space="preserve">Наименование организации__________________________________________</w:t>
      </w:r>
    </w:p>
    <w:p>
      <w:pPr>
        <w:spacing w:after="60"/>
        <w:ind w:firstLine="567"/>
        <w:jc w:val="both"/>
      </w:pPr>
      <w:r>
        <w:rPr>
          <w:rFonts w:ascii="Arial" w:cs="Arial" w:eastAsia="Arial" w:hAnsi="Arial"/>
          <w:sz w:val="24"/>
          <w:szCs w:val="24"/>
        </w:rPr>
        <w:t xml:space="preserve">Дата предоставления отчета__________________________________________</w:t>
      </w:r>
    </w:p>
    <w:p>
      <w:pPr>
        <w:spacing w:after="60"/>
        <w:ind w:firstLine="567"/>
        <w:jc w:val="both"/>
      </w:pPr>
      <w:r>
        <w:rPr>
          <w:rFonts w:ascii="Arial" w:cs="Arial" w:eastAsia="Arial" w:hAnsi="Arial"/>
          <w:sz w:val="24"/>
          <w:szCs w:val="24"/>
        </w:rPr>
        <w:t xml:space="preserve">Период предоставление отчета________________________________________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7"/>
        <w:gridCol w:w="1576"/>
        <w:gridCol w:w="1715"/>
        <w:gridCol w:w="1297"/>
        <w:gridCol w:w="1436"/>
        <w:gridCol w:w="993"/>
        <w:gridCol w:w="1264"/>
        <w:gridCol w:w="1469"/>
      </w:tblGrid>
      <w:tr>
        <w:tc>
          <w:tcPr>
            <w:tcW w:type="dxa" w:w="427"/>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15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Поступление денежных средств, с указанием даты поступления</w:t>
            </w:r>
          </w:p>
          <w:p>
            <w:pPr>
              <w:jc w:val="center"/>
            </w:pPr>
            <w:r>
              <w:rPr>
                <w:rFonts w:ascii="Arial" w:cs="Arial" w:eastAsia="Arial" w:hAnsi="Arial"/>
                <w:b/>
                <w:bCs/>
                <w:sz w:val="22"/>
                <w:szCs w:val="22"/>
              </w:rPr>
              <w:t xml:space="preserve">(план)</w:t>
            </w:r>
          </w:p>
        </w:tc>
        <w:tc>
          <w:tcPr>
            <w:tcW w:type="dxa" w:w="1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Поступление денежных средств, с указанием даты поступления</w:t>
            </w:r>
          </w:p>
          <w:p>
            <w:pPr>
              <w:jc w:val="center"/>
            </w:pPr>
            <w:r>
              <w:rPr>
                <w:rFonts w:ascii="Arial" w:cs="Arial" w:eastAsia="Arial" w:hAnsi="Arial"/>
                <w:b/>
                <w:bCs/>
                <w:sz w:val="22"/>
                <w:szCs w:val="22"/>
              </w:rPr>
              <w:t xml:space="preserve">(факт)</w:t>
            </w:r>
          </w:p>
        </w:tc>
        <w:tc>
          <w:tcPr>
            <w:tcW w:type="dxa" w:w="12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Планируемые расходы</w:t>
            </w:r>
          </w:p>
        </w:tc>
        <w:tc>
          <w:tcPr>
            <w:tcW w:type="dxa" w:w="14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Фактические Расходы</w:t>
            </w:r>
          </w:p>
        </w:tc>
        <w:tc>
          <w:tcPr>
            <w:tcW w:type="dxa" w:w="9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Откланение по доходам</w:t>
            </w:r>
          </w:p>
        </w:tc>
        <w:tc>
          <w:tcPr>
            <w:tcW w:type="dxa" w:w="1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Отклонение по расходам</w:t>
            </w:r>
          </w:p>
        </w:tc>
        <w:tc>
          <w:tcPr>
            <w:tcW w:type="dxa" w:w="14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Пояснения к отклонениям</w:t>
            </w:r>
          </w:p>
        </w:tc>
      </w:tr>
      <w:tr>
        <w:tc>
          <w:tcPr>
            <w:tcW w:type="dxa" w:w="4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7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3-4</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организации___________________________________________</w:t>
      </w:r>
    </w:p>
    <w:p>
      <w:pPr>
        <w:spacing w:after="60"/>
        <w:ind w:firstLine="3261"/>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xjgbkcu_ek5k98qc0hbkm">
        <w:r>
          <w:rPr>
            <w:rFonts w:ascii="Arial" w:cs="Arial" w:eastAsia="Arial" w:hAnsi="Arial"/>
            <w:color w:val="1D4ED8"/>
            <w:sz w:val="24"/>
            <w:szCs w:val="24"/>
            <w:u w:val="single"/>
          </w:rPr>
          <w:t xml:space="preserve">Приложение 5</w:t>
        </w:r>
      </w:hyperlink>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распределения средств из республиканского бюджета в фонды развития регионов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2_u_bzf9gpk0-jgvvwokv">
        <w:r>
          <w:rPr>
            <w:rFonts w:ascii="Arial" w:cs="Arial" w:eastAsia="Arial" w:hAnsi="Arial"/>
            <w:i/>
            <w:iCs/>
            <w:color w:val="1D4ED8"/>
            <w:sz w:val="24"/>
            <w:szCs w:val="24"/>
            <w:u w:val="single"/>
          </w:rPr>
          <w:t xml:space="preserve">12 июля 2022 года № 376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распределения средств из республиканского бюджета в фонды развития регионов (далее - Порядок) разработан в соответствии со </w:t>
      </w:r>
      <w:hyperlink w:history="1" r:id="rIdfidclhvgmdq1tr7opsqdr">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Бюджетного Кодекса Кыргызской Республики, </w:t>
      </w:r>
      <w:hyperlink w:history="1" r:id="rIdjsknnmu3mbe2rp7lrjga9">
        <w:r>
          <w:rPr>
            <w:rFonts w:ascii="Arial" w:cs="Arial" w:eastAsia="Arial" w:hAnsi="Arial"/>
            <w:color w:val="1D4ED8"/>
            <w:sz w:val="24"/>
            <w:szCs w:val="24"/>
            <w:u w:val="single"/>
          </w:rPr>
          <w:t xml:space="preserve">Типовым положением</w:t>
        </w:r>
      </w:hyperlink>
      <w:r>
        <w:rPr>
          <w:rFonts w:ascii="Arial" w:cs="Arial" w:eastAsia="Arial" w:hAnsi="Arial"/>
          <w:sz w:val="24"/>
          <w:szCs w:val="24"/>
        </w:rPr>
        <w:t xml:space="preserve"> о фондах развития регионов и определяет последовательность действий при принятии решения о выделении средств из республиканского бюджета в фонды развития регионов.</w:t>
      </w:r>
    </w:p>
    <w:p>
      <w:pPr>
        <w:spacing w:after="120"/>
        <w:jc w:val="both"/>
      </w:pPr>
      <w:r>
        <w:rPr>
          <w:rFonts w:ascii="Arial" w:cs="Arial" w:eastAsia="Arial" w:hAnsi="Arial"/>
          <w:sz w:val="24"/>
          <w:szCs w:val="24"/>
        </w:rPr>
        <w:t xml:space="preserve">2. Объем и назначение средств из республиканского бюджета в фонды развития регионов утверждаются на ежегодной основе законом Кыргызской Республики о республиканском бюджете.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Распределение средств из республиканского бюджета в фонды развития регионов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Распределение средств из республиканского бюджета осуществляется по двум группам:</w:t>
      </w:r>
    </w:p>
    <w:p>
      <w:pPr>
        <w:spacing w:after="120"/>
        <w:jc w:val="both"/>
      </w:pPr>
      <w:r>
        <w:rPr>
          <w:rFonts w:ascii="Arial" w:cs="Arial" w:eastAsia="Arial" w:hAnsi="Arial"/>
          <w:sz w:val="24"/>
          <w:szCs w:val="24"/>
        </w:rPr>
        <w:t xml:space="preserve">1) по Фондам развития области - равными долями от установленного соответствующим уполномоченным государственным органом по прогнозированию и исполнению бюджета (далее - государственный уполномоченный орган) объема средств в республиканском бюджете по данной группе, за исключением областей, где поступают отчисления на содержание инфраструктуры местного значения от разработчиков крупных месторождений;</w:t>
      </w:r>
    </w:p>
    <w:p>
      <w:pPr>
        <w:spacing w:after="120"/>
        <w:jc w:val="both"/>
      </w:pPr>
      <w:r>
        <w:rPr>
          <w:rFonts w:ascii="Arial" w:cs="Arial" w:eastAsia="Arial" w:hAnsi="Arial"/>
          <w:sz w:val="24"/>
          <w:szCs w:val="24"/>
        </w:rPr>
        <w:t xml:space="preserve">2) по Фондам развития района - каждому району от установленного соответствующим уполномоченным государственным органом объема средств в республиканском бюджете по данной группе распределяются средства в зависимости от объема доходов (за вычетом активов, обязательств и специальных средств), за исключением районов, где поступают отчисления на содержание инфраструктуры местного значения от разработчиков крупных месторождений (свыше 10000000 (десять миллионов) сомов согласно таблице № 1.</w:t>
      </w:r>
    </w:p>
    <w:p>
      <w:pPr>
        <w:spacing w:after="120"/>
        <w:jc w:val="both"/>
      </w:pPr>
      <w:r>
        <w:rPr>
          <w:rFonts w:ascii="Arial" w:cs="Arial" w:eastAsia="Arial" w:hAnsi="Arial"/>
          <w:sz w:val="24"/>
          <w:szCs w:val="24"/>
        </w:rPr>
        <w:t xml:space="preserve"/>
      </w:r>
    </w:p>
    <w:p>
      <w:pPr>
        <w:spacing w:after="120"/>
        <w:jc w:val="right"/>
      </w:pPr>
      <w:hyperlink w:history="1" r:id="rIdnb56bynvb3kntzwwffmqy">
        <w:r>
          <w:rPr>
            <w:rFonts w:ascii="Arial" w:cs="Arial" w:eastAsia="Arial" w:hAnsi="Arial"/>
            <w:color w:val="1D4ED8"/>
            <w:sz w:val="24"/>
            <w:szCs w:val="24"/>
            <w:u w:val="single"/>
          </w:rPr>
          <w:t xml:space="preserve">Приложение 6</w:t>
        </w:r>
      </w:hyperlink>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ТИПОВОЕ СОГЛАШЕНИЕ
 между Фондом развития региона, финансово-кредитным учреждением и субъектом предпринимательства по передаче прав на осуществление финансово-технического обслуживания кредитной линии по экономическим проектам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sabzsilcx37h0yepf_jcw">
        <w:r>
          <w:rPr>
            <w:rFonts w:ascii="Arial" w:cs="Arial" w:eastAsia="Arial" w:hAnsi="Arial"/>
            <w:i/>
            <w:iCs/>
            <w:color w:val="1D4ED8"/>
            <w:sz w:val="24"/>
            <w:szCs w:val="24"/>
            <w:u w:val="single"/>
          </w:rPr>
          <w:t xml:space="preserve">12 июля 2022 года № 376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Фонд развития региона (наименование), в лице (ФИО), именуемое в дальнейшем "Фонд", с одной стороны, финансово-кредитной организацией (наименование), именуемой в дальнейшем "ФКО", с другой стороны, и субъект предпринимательства (наименование), именуемый далее "субъект предпринимательства" с другой стороны, вместе в дальнейшем именуемые "Стороны", заключили настоящее Соглашение о нижеследующем: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Предмет Соглашения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Согласно Типовому положению о порядке деятельности фондов развития регионов, Фонд выделяет ФКО финансовые средства в размере шестьдесят процентов из средств, поступающих на бюджетный счет Фонда, для дальнейшего финансирования экономических проектов.</w:t>
      </w:r>
    </w:p>
    <w:p>
      <w:pPr>
        <w:spacing w:after="120"/>
        <w:jc w:val="both"/>
      </w:pPr>
      <w:r>
        <w:rPr>
          <w:rFonts w:ascii="Arial" w:cs="Arial" w:eastAsia="Arial" w:hAnsi="Arial"/>
          <w:sz w:val="24"/>
          <w:szCs w:val="24"/>
        </w:rPr>
        <w:t xml:space="preserve">2. Финансирование экономических проектов ФКО производится согласно внутренним нормативным актам при соблюдении следующих условий:</w:t>
      </w:r>
    </w:p>
    <w:p>
      <w:pPr>
        <w:spacing w:after="120"/>
        <w:jc w:val="both"/>
      </w:pPr>
      <w:r>
        <w:rPr>
          <w:rFonts w:ascii="Arial" w:cs="Arial" w:eastAsia="Arial" w:hAnsi="Arial"/>
          <w:sz w:val="24"/>
          <w:szCs w:val="24"/>
        </w:rPr>
        <w:t xml:space="preserve">1) для инвестиционной деятельности со сроком до 5 лет - с процентной ставкой 6% годовых, максимальный объем кредитования на одного заемщика не должен превышать 30000000 (тридцать миллионов) сомов;</w:t>
      </w:r>
    </w:p>
    <w:p>
      <w:pPr>
        <w:spacing w:after="120"/>
        <w:jc w:val="both"/>
      </w:pPr>
      <w:r>
        <w:rPr>
          <w:rFonts w:ascii="Arial" w:cs="Arial" w:eastAsia="Arial" w:hAnsi="Arial"/>
          <w:sz w:val="24"/>
          <w:szCs w:val="24"/>
        </w:rPr>
        <w:t xml:space="preserve">2) для оборотного капитала со сроком до 3 лет - с процентной ставкой 6% годовых, максимальный объем кредитования на одного заемщика не должен превышать 5000000 (пять миллионов) сомов;</w:t>
      </w:r>
    </w:p>
    <w:p>
      <w:pPr>
        <w:spacing w:after="120"/>
        <w:jc w:val="both"/>
      </w:pPr>
      <w:r>
        <w:rPr>
          <w:rFonts w:ascii="Arial" w:cs="Arial" w:eastAsia="Arial" w:hAnsi="Arial"/>
          <w:sz w:val="24"/>
          <w:szCs w:val="24"/>
        </w:rPr>
        <w:t xml:space="preserve">3) для проектов, реализуемых на отдаленных, труднодоступных, высокогорных и приграничных территориях объем кредитования должен составлять не менее 30% общего объема финансирования:</w:t>
      </w:r>
    </w:p>
    <w:p>
      <w:pPr>
        <w:spacing w:after="120"/>
        <w:jc w:val="both"/>
      </w:pPr>
      <w:r>
        <w:rPr>
          <w:rFonts w:ascii="Arial" w:cs="Arial" w:eastAsia="Arial" w:hAnsi="Arial"/>
          <w:sz w:val="24"/>
          <w:szCs w:val="24"/>
        </w:rPr>
        <w:t xml:space="preserve">- для инвестиционной деятельности со сроком до 7 лет - с процентной ставкой 5,5% годовых, максимальный объем кредитования на одного заемщика не должен превышать 30000000 (тридцать миллионов) сомов;</w:t>
      </w:r>
    </w:p>
    <w:p>
      <w:pPr>
        <w:spacing w:after="120"/>
        <w:jc w:val="both"/>
      </w:pPr>
      <w:r>
        <w:rPr>
          <w:rFonts w:ascii="Arial" w:cs="Arial" w:eastAsia="Arial" w:hAnsi="Arial"/>
          <w:sz w:val="24"/>
          <w:szCs w:val="24"/>
        </w:rPr>
        <w:t xml:space="preserve">- для оборотного капитала со сроком до 5 лет - с процентной ставкой 5,5% годовых, максимальный объем кредитования на одного заемщика не должен превышать 5000000 (пять миллионов) сомов.</w:t>
      </w:r>
    </w:p>
    <w:p>
      <w:pPr>
        <w:spacing w:after="120"/>
        <w:jc w:val="both"/>
      </w:pPr>
      <w:r>
        <w:rPr>
          <w:rFonts w:ascii="Arial" w:cs="Arial" w:eastAsia="Arial" w:hAnsi="Arial"/>
          <w:sz w:val="24"/>
          <w:szCs w:val="24"/>
        </w:rPr>
        <w:t xml:space="preserve">При этом, относящихся к приграничным территориям, имеющих особый статус, проживающим в тяжелых, неблагоприятных природно-климатических условиях высокогорья и отдаленных труднодоступных зонах Кыргызской Республики является дополнительным поощрительным фактором при отборе проектов.</w:t>
      </w:r>
    </w:p>
    <w:p>
      <w:pPr>
        <w:spacing w:after="120"/>
        <w:jc w:val="both"/>
      </w:pPr>
      <w:r>
        <w:rPr>
          <w:rFonts w:ascii="Arial" w:cs="Arial" w:eastAsia="Arial" w:hAnsi="Arial"/>
          <w:sz w:val="24"/>
          <w:szCs w:val="24"/>
        </w:rPr>
        <w:t xml:space="preserve">3. Указанные средства в размере 30% процентов предназначенных на кредитование субъектов предпринимательства, предоставляются ФКО на принципах платности, возвратности и срочности.</w:t>
      </w:r>
    </w:p>
    <w:p>
      <w:pPr>
        <w:spacing w:after="120"/>
        <w:jc w:val="both"/>
      </w:pPr>
      <w:r>
        <w:rPr>
          <w:rFonts w:ascii="Arial" w:cs="Arial" w:eastAsia="Arial" w:hAnsi="Arial"/>
          <w:sz w:val="24"/>
          <w:szCs w:val="24"/>
        </w:rPr>
        <w:t xml:space="preserve">4. Все платежи по настоящему Соглашению производятся ФКО в национальной валюте Кыргызской Республики (сом) и засчитываются в погашение задолженности на дату фактического поступления на расчетный счет Фонда суммы, причитающейся к оплате в счет погашения долга.</w:t>
      </w:r>
    </w:p>
    <w:p>
      <w:pPr>
        <w:spacing w:after="120"/>
        <w:jc w:val="both"/>
      </w:pPr>
      <w:r>
        <w:rPr>
          <w:rFonts w:ascii="Arial" w:cs="Arial" w:eastAsia="Arial" w:hAnsi="Arial"/>
          <w:sz w:val="24"/>
          <w:szCs w:val="24"/>
        </w:rPr>
        <w:t xml:space="preserve">5. Финансовые средства выделяются траншами на основании заявок субъекта предпринимательства с приложением подтверждающих документов об одобрении бизнес-проекта, на каждый транш заключается дополнительное соглашение к настоящему Соглашению на вышеуказанных условиях и составляется "График погашения".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Обязательства Фонда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Выделение финансирования, ФКО по их заявке с приложением подтверждающих документов об одобрении экономического проекта с указанием конкретных условий кредитования.</w:t>
      </w:r>
    </w:p>
    <w:p>
      <w:pPr>
        <w:spacing w:after="120"/>
        <w:jc w:val="both"/>
      </w:pPr>
      <w:r>
        <w:rPr>
          <w:rFonts w:ascii="Arial" w:cs="Arial" w:eastAsia="Arial" w:hAnsi="Arial"/>
          <w:sz w:val="24"/>
          <w:szCs w:val="24"/>
        </w:rPr>
        <w:t xml:space="preserve">7. Фонд обязуется передать средства в сроки и в объемах, в соответствии с условиями, определенными настоящим Соглашением.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Обязательства ФКО</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ФКО обязуется производить финансирование региональных бизнес-проектов (за исключением города Бишкек и Ош) при их соответствии следующим направлениям и условиям:</w:t>
      </w:r>
    </w:p>
    <w:p>
      <w:pPr>
        <w:spacing w:after="120"/>
        <w:jc w:val="both"/>
      </w:pPr>
      <w:r>
        <w:rPr>
          <w:rFonts w:ascii="Arial" w:cs="Arial" w:eastAsia="Arial" w:hAnsi="Arial"/>
          <w:sz w:val="24"/>
          <w:szCs w:val="24"/>
        </w:rPr>
        <w:t xml:space="preserve">1) все виды промышленного производства, основанные на инновационных технологиях;</w:t>
      </w:r>
    </w:p>
    <w:p>
      <w:pPr>
        <w:spacing w:after="120"/>
        <w:jc w:val="both"/>
      </w:pPr>
      <w:r>
        <w:rPr>
          <w:rFonts w:ascii="Arial" w:cs="Arial" w:eastAsia="Arial" w:hAnsi="Arial"/>
          <w:sz w:val="24"/>
          <w:szCs w:val="24"/>
        </w:rPr>
        <w:t xml:space="preserve">2) легкая и пищевая промышленности;</w:t>
      </w:r>
    </w:p>
    <w:p>
      <w:pPr>
        <w:spacing w:after="120"/>
        <w:jc w:val="both"/>
      </w:pPr>
      <w:r>
        <w:rPr>
          <w:rFonts w:ascii="Arial" w:cs="Arial" w:eastAsia="Arial" w:hAnsi="Arial"/>
          <w:sz w:val="24"/>
          <w:szCs w:val="24"/>
        </w:rPr>
        <w:t xml:space="preserve">3) электроэнергетика;</w:t>
      </w:r>
    </w:p>
    <w:p>
      <w:pPr>
        <w:spacing w:after="120"/>
        <w:jc w:val="both"/>
      </w:pPr>
      <w:r>
        <w:rPr>
          <w:rFonts w:ascii="Arial" w:cs="Arial" w:eastAsia="Arial" w:hAnsi="Arial"/>
          <w:sz w:val="24"/>
          <w:szCs w:val="24"/>
        </w:rPr>
        <w:t xml:space="preserve">4) переработка сельскохозяйственной продукции;</w:t>
      </w:r>
    </w:p>
    <w:p>
      <w:pPr>
        <w:spacing w:after="120"/>
        <w:jc w:val="both"/>
      </w:pPr>
      <w:r>
        <w:rPr>
          <w:rFonts w:ascii="Arial" w:cs="Arial" w:eastAsia="Arial" w:hAnsi="Arial"/>
          <w:sz w:val="24"/>
          <w:szCs w:val="24"/>
        </w:rPr>
        <w:t xml:space="preserve">5) сборочное производство;</w:t>
      </w:r>
    </w:p>
    <w:p>
      <w:pPr>
        <w:spacing w:after="120"/>
        <w:jc w:val="both"/>
      </w:pPr>
      <w:r>
        <w:rPr>
          <w:rFonts w:ascii="Arial" w:cs="Arial" w:eastAsia="Arial" w:hAnsi="Arial"/>
          <w:sz w:val="24"/>
          <w:szCs w:val="24"/>
        </w:rPr>
        <w:t xml:space="preserve">6) любое экспортно ориентированное производство;</w:t>
      </w:r>
    </w:p>
    <w:p>
      <w:pPr>
        <w:spacing w:after="120"/>
        <w:jc w:val="both"/>
      </w:pPr>
      <w:r>
        <w:rPr>
          <w:rFonts w:ascii="Arial" w:cs="Arial" w:eastAsia="Arial" w:hAnsi="Arial"/>
          <w:sz w:val="24"/>
          <w:szCs w:val="24"/>
        </w:rPr>
        <w:t xml:space="preserve">7) создание рабочих мест;</w:t>
      </w:r>
    </w:p>
    <w:p>
      <w:pPr>
        <w:spacing w:after="120"/>
        <w:jc w:val="both"/>
      </w:pPr>
      <w:r>
        <w:rPr>
          <w:rFonts w:ascii="Arial" w:cs="Arial" w:eastAsia="Arial" w:hAnsi="Arial"/>
          <w:sz w:val="24"/>
          <w:szCs w:val="24"/>
        </w:rPr>
        <w:t xml:space="preserve">8) использование местного сырья;</w:t>
      </w:r>
    </w:p>
    <w:p>
      <w:pPr>
        <w:spacing w:after="120"/>
        <w:jc w:val="both"/>
      </w:pPr>
      <w:r>
        <w:rPr>
          <w:rFonts w:ascii="Arial" w:cs="Arial" w:eastAsia="Arial" w:hAnsi="Arial"/>
          <w:sz w:val="24"/>
          <w:szCs w:val="24"/>
        </w:rPr>
        <w:t xml:space="preserve">9) повышение экспортного потенциала и обеспечение импортозамещения.</w:t>
      </w:r>
    </w:p>
    <w:p>
      <w:pPr>
        <w:spacing w:after="120"/>
        <w:jc w:val="both"/>
      </w:pPr>
      <w:r>
        <w:rPr>
          <w:rFonts w:ascii="Arial" w:cs="Arial" w:eastAsia="Arial" w:hAnsi="Arial"/>
          <w:sz w:val="24"/>
          <w:szCs w:val="24"/>
        </w:rPr>
        <w:t xml:space="preserve">9. ФКО на основании настоящего Соглашения производит:</w:t>
      </w:r>
    </w:p>
    <w:p>
      <w:pPr>
        <w:spacing w:after="120"/>
        <w:jc w:val="both"/>
      </w:pPr>
      <w:r>
        <w:rPr>
          <w:rFonts w:ascii="Arial" w:cs="Arial" w:eastAsia="Arial" w:hAnsi="Arial"/>
          <w:sz w:val="24"/>
          <w:szCs w:val="24"/>
        </w:rPr>
        <w:t xml:space="preserve">1) кредитование субъектов предпринимательства на основе решения Наблюдательного совета Фонда;</w:t>
      </w:r>
    </w:p>
    <w:p>
      <w:pPr>
        <w:spacing w:after="120"/>
        <w:jc w:val="both"/>
      </w:pPr>
      <w:r>
        <w:rPr>
          <w:rFonts w:ascii="Arial" w:cs="Arial" w:eastAsia="Arial" w:hAnsi="Arial"/>
          <w:sz w:val="24"/>
          <w:szCs w:val="24"/>
        </w:rPr>
        <w:t xml:space="preserve">2) возврат основного долга и процентных платежей на счет Фонда;</w:t>
      </w:r>
    </w:p>
    <w:p>
      <w:pPr>
        <w:spacing w:after="120"/>
        <w:jc w:val="both"/>
      </w:pPr>
      <w:r>
        <w:rPr>
          <w:rFonts w:ascii="Arial" w:cs="Arial" w:eastAsia="Arial" w:hAnsi="Arial"/>
          <w:sz w:val="24"/>
          <w:szCs w:val="24"/>
        </w:rPr>
        <w:t xml:space="preserve">3) мониторинг реализации экономических проектов.</w:t>
      </w:r>
    </w:p>
    <w:p>
      <w:pPr>
        <w:spacing w:after="120"/>
        <w:jc w:val="both"/>
      </w:pPr>
      <w:r>
        <w:rPr>
          <w:rFonts w:ascii="Arial" w:cs="Arial" w:eastAsia="Arial" w:hAnsi="Arial"/>
          <w:sz w:val="24"/>
          <w:szCs w:val="24"/>
        </w:rPr>
        <w:t xml:space="preserve">10. ФКО несет ответственность за возвратность, обеспеченность, платность и срочность заемных средств.</w:t>
      </w:r>
    </w:p>
    <w:p>
      <w:pPr>
        <w:spacing w:after="120"/>
        <w:jc w:val="both"/>
      </w:pPr>
      <w:r>
        <w:rPr>
          <w:rFonts w:ascii="Arial" w:cs="Arial" w:eastAsia="Arial" w:hAnsi="Arial"/>
          <w:sz w:val="24"/>
          <w:szCs w:val="24"/>
        </w:rPr>
        <w:t xml:space="preserve">11. ФКО на ежеквартальной основе предоставляет отчетность Фонду по целевому использованию средств.</w:t>
      </w:r>
    </w:p>
    <w:p>
      <w:pPr>
        <w:spacing w:after="120"/>
        <w:jc w:val="both"/>
      </w:pPr>
      <w:r>
        <w:rPr>
          <w:rFonts w:ascii="Arial" w:cs="Arial" w:eastAsia="Arial" w:hAnsi="Arial"/>
          <w:sz w:val="24"/>
          <w:szCs w:val="24"/>
        </w:rPr>
        <w:t xml:space="preserve">12. При недостаточности средств, перечисленных ФКО в погашение платежа, предусмотренного по графику выплаты, произведенные ФКО платежи по настоящему Соглашению, засчитываются в первую очередь в погашение основной суммы, затем процентов, затем штрафов.</w:t>
      </w:r>
    </w:p>
    <w:p>
      <w:pPr>
        <w:spacing w:after="120"/>
        <w:jc w:val="both"/>
      </w:pPr>
      <w:r>
        <w:rPr>
          <w:rFonts w:ascii="Arial" w:cs="Arial" w:eastAsia="Arial" w:hAnsi="Arial"/>
          <w:sz w:val="24"/>
          <w:szCs w:val="24"/>
        </w:rPr>
        <w:t xml:space="preserve">13. В случае если дата платежа приходится на нерабочий день или праздничный день в Кыргызской Республике, такой платеж должен быть осуществлен в предшествующий банковский день.</w:t>
      </w:r>
    </w:p>
    <w:p>
      <w:pPr>
        <w:spacing w:after="120"/>
        <w:jc w:val="both"/>
      </w:pPr>
      <w:r>
        <w:rPr>
          <w:rFonts w:ascii="Arial" w:cs="Arial" w:eastAsia="Arial" w:hAnsi="Arial"/>
          <w:sz w:val="24"/>
          <w:szCs w:val="24"/>
        </w:rPr>
        <w:t xml:space="preserve">14. В случае нарушения ФКО требований настоящего Соглашения, Фонд согласно законодательному порядку вправе потребовать досрочного возврата полной суммы задолженности по настоящему Соглашению, включая суммы основного долга и иные причитающиеся платежи.</w:t>
      </w:r>
    </w:p>
    <w:p>
      <w:pPr>
        <w:spacing w:after="120"/>
        <w:jc w:val="both"/>
      </w:pPr>
      <w:r>
        <w:rPr>
          <w:rFonts w:ascii="Arial" w:cs="Arial" w:eastAsia="Arial" w:hAnsi="Arial"/>
          <w:sz w:val="24"/>
          <w:szCs w:val="24"/>
        </w:rPr>
        <w:t xml:space="preserve">15. ФКО обязуется в течение всего периода пользования финансовыми средствами по первому требованию Фонда предоставлять необходимые документы, а также сведения, касающиеся финансово-хозяйственной деятельности ФКО, производимой по региональным экономическим проектам.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Разрешение споров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Любой спор между Сторонами, противоречия и взаимные претензии, являющиеся следствием или связанные с настоящим Соглашением, разрешаются посредством проведения переговоров или направления претензии.</w:t>
      </w:r>
    </w:p>
    <w:p>
      <w:pPr>
        <w:spacing w:after="120"/>
        <w:jc w:val="both"/>
      </w:pPr>
      <w:r>
        <w:rPr>
          <w:rFonts w:ascii="Arial" w:cs="Arial" w:eastAsia="Arial" w:hAnsi="Arial"/>
          <w:sz w:val="24"/>
          <w:szCs w:val="24"/>
        </w:rPr>
        <w:t xml:space="preserve">17. Любой спор между Сторонами, противоречия и взаимные претензии которые не могут быть решены посредством переговоров, подлежат разрешению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18. В случае наступления форс-мажорных обстоятельств (действия непреодолимой силы) ФКО приостанавливает исполнение взятых на себя обязательств по настоящему Соглашению на время действия форс-мажора. Факт наступления форс-мажорных обстоятельств оформляется актом между сторонами либо другим соответствующим документом. При прекращении действия форс-мажора ФКО обязуется в полной мере и в минимальные сроки выполнить обязательства перед Фондом.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Настоящее Соглашение вступает в силу со дня его подписания Сторонами и действует до полного погашения задолженности и исполнения ФКО всех обязательств по настоящему Соглашению в полном объеме.</w:t>
      </w:r>
    </w:p>
    <w:p>
      <w:pPr>
        <w:spacing w:after="120"/>
        <w:jc w:val="both"/>
      </w:pPr>
      <w:r>
        <w:rPr>
          <w:rFonts w:ascii="Arial" w:cs="Arial" w:eastAsia="Arial" w:hAnsi="Arial"/>
          <w:sz w:val="24"/>
          <w:szCs w:val="24"/>
        </w:rPr>
        <w:t xml:space="preserve">20. Дополнительные соглашения, оформляющие предоставление траншей финансовых средств, а также другие изменения и дополнения к настоящему Соглашению имеют юридическую силу после подписания их Сторонами и являются неотъемлемой частью настоящего Соглашения.</w:t>
      </w:r>
    </w:p>
    <w:p>
      <w:pPr>
        <w:spacing w:after="120"/>
        <w:jc w:val="both"/>
      </w:pPr>
      <w:r>
        <w:rPr>
          <w:rFonts w:ascii="Arial" w:cs="Arial" w:eastAsia="Arial" w:hAnsi="Arial"/>
          <w:sz w:val="24"/>
          <w:szCs w:val="24"/>
        </w:rPr>
        <w:t xml:space="preserve">21. Любые изменения и дополнения к настоящему Соглашению имеют силу только в том случае, если они оформлены в письменном виде и подписаны уполномоченными представителями Сторон.</w:t>
      </w:r>
    </w:p>
    <w:p>
      <w:pPr>
        <w:spacing w:after="120"/>
        <w:jc w:val="both"/>
      </w:pPr>
      <w:r>
        <w:rPr>
          <w:rFonts w:ascii="Arial" w:cs="Arial" w:eastAsia="Arial" w:hAnsi="Arial"/>
          <w:sz w:val="24"/>
          <w:szCs w:val="24"/>
        </w:rPr>
        <w:t xml:space="preserve">22. Односторонний отказ от исполнения условий настоящего Соглашения полностью или частично не допускается.</w:t>
      </w:r>
    </w:p>
    <w:p>
      <w:pPr>
        <w:spacing w:after="120"/>
        <w:jc w:val="both"/>
      </w:pPr>
      <w:r>
        <w:rPr>
          <w:rFonts w:ascii="Arial" w:cs="Arial" w:eastAsia="Arial" w:hAnsi="Arial"/>
          <w:sz w:val="24"/>
          <w:szCs w:val="24"/>
        </w:rPr>
        <w:t xml:space="preserve">23. Настоящее Соглашение составлено в трех экземплярах, имеющих одинаковую юридическую силу, по одному экземпляру для каждой из сторон.</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Реквизиты и юридические адреса сторон</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Юридические адреса и реквизиты Сторон:</w:t>
      </w:r>
    </w:p>
    <w:p>
      <w:pPr>
        <w:tabs>
          <w:tab w:val="right" w:pos="10178"/>
        </w:tabs>
        <w:spacing w:after="120"/>
      </w:pPr>
      <w:r>
        <w:rPr>
          <w:rFonts w:ascii="Arial" w:cs="Arial" w:eastAsia="Arial" w:hAnsi="Arial"/>
          <w:sz w:val="24"/>
          <w:szCs w:val="24"/>
        </w:rPr>
        <w:t xml:space="preserve">Фонд:</w:t>
      </w:r>
      <w:r>
        <w:rPr>
          <w:rFonts w:ascii="Arial" w:cs="Arial" w:eastAsia="Arial" w:hAnsi="Arial"/>
          <w:sz w:val="24"/>
          <w:szCs w:val="24"/>
        </w:rPr>
        <w:t xml:space="preserve">	</w:t>
      </w:r>
      <w:r>
        <w:rPr>
          <w:rFonts w:ascii="Arial" w:cs="Arial" w:eastAsia="Arial" w:hAnsi="Arial"/>
          <w:sz w:val="24"/>
          <w:szCs w:val="24"/>
        </w:rPr>
        <w:t xml:space="preserve">ФКО:</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25. Юридические адреса и реквизиты Сторон:</w:t>
      </w:r>
    </w:p>
    <w:p>
      <w:pPr>
        <w:spacing w:after="120"/>
        <w:jc w:val="both"/>
      </w:pPr>
      <w:r>
        <w:rPr>
          <w:rFonts w:ascii="Arial" w:cs="Arial" w:eastAsia="Arial" w:hAnsi="Arial"/>
          <w:sz w:val="24"/>
          <w:szCs w:val="24"/>
        </w:rPr>
        <w:t xml:space="preserve">Субъект предпринимательства:</w:t>
      </w:r>
    </w:p>
    <w:p>
      <w:pPr>
        <w:spacing w:after="120"/>
        <w:jc w:val="left"/>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26. Дата и место подписания, ФИО подписывающих лиц от каждой Стороны, печати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j_hbo6nztwy9ecfhri2q">
      <w:r>
        <w:rPr>
          <w:rFonts w:ascii="Arial" w:cs="Arial" w:eastAsia="Arial" w:hAnsi="Arial"/>
          <w:color w:val="132D3F"/>
          <w:sz w:val="16"/>
          <w:szCs w:val="16"/>
          <w:u w:val="single"/>
        </w:rPr>
        <w:t xml:space="preserve">dalil.kg/document/158639</w:t>
      </w:r>
    </w:hyperlink>
  </w:p>
  <w:p>
    <w:pPr>
      <w:spacing w:after="0" w:before="40"/>
      <w:jc w:val="center"/>
    </w:pPr>
    <w:hyperlink w:history="1" r:id="rIdkqfquwnfgr3o480trfps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o4niz2bhlphlp3i4egkj" Type="http://schemas.openxmlformats.org/officeDocument/2006/relationships/hyperlink" Target="https://dalil.kg/document/159858" TargetMode="External"/><Relationship Id="rIdy1zhm_6ucqoypqxlf9xud" Type="http://schemas.openxmlformats.org/officeDocument/2006/relationships/hyperlink" Target="https://dalil.kg/document/159342" TargetMode="External"/><Relationship Id="rId2riedt9uexpzagkt7vgig" Type="http://schemas.openxmlformats.org/officeDocument/2006/relationships/hyperlink" Target="https://dalil.kg/document/111338#st_34" TargetMode="External"/><Relationship Id="rIdsgehn3bryx-qqychirggd" Type="http://schemas.openxmlformats.org/officeDocument/2006/relationships/hyperlink" Target="https://dalil.kg/document/112301#st_13" TargetMode="External"/><Relationship Id="rIdmk96d-mlt8daekioy3zyk" Type="http://schemas.openxmlformats.org/officeDocument/2006/relationships/hyperlink" Target="https://dalil.kg/document/112301#st_17" TargetMode="External"/><Relationship Id="rIdjvtd9d2nqke5zau6imccs" Type="http://schemas.openxmlformats.org/officeDocument/2006/relationships/hyperlink" Target="https://dalil.kg/document/158645" TargetMode="External"/><Relationship Id="rIduprfut9nu4ddjkwxbudsf" Type="http://schemas.openxmlformats.org/officeDocument/2006/relationships/hyperlink" Target="https://dalil.kg/document/158639#pr2" TargetMode="External"/><Relationship Id="rIdmh0t52k_inzjxirnywwnz" Type="http://schemas.openxmlformats.org/officeDocument/2006/relationships/hyperlink" Target="https://dalil.kg/document/158639#pr3" TargetMode="External"/><Relationship Id="rIduqf7wy4i5e4l7lctvnzub" Type="http://schemas.openxmlformats.org/officeDocument/2006/relationships/hyperlink" Target="https://dalil.kg/document/158639#pr4" TargetMode="External"/><Relationship Id="rId4wfbwhcgqlssxhaz8qdf1" Type="http://schemas.openxmlformats.org/officeDocument/2006/relationships/hyperlink" Target="https://dalil.kg/document/158639#pr5" TargetMode="External"/><Relationship Id="rId7y5mqw486dhz4siu3mw3n" Type="http://schemas.openxmlformats.org/officeDocument/2006/relationships/hyperlink" Target="https://dalil.kg/document/158639#pr6" TargetMode="External"/><Relationship Id="rIdskkroujdwvdc1inwlphm0" Type="http://schemas.openxmlformats.org/officeDocument/2006/relationships/hyperlink" Target="https://dalil.kg/document/159342" TargetMode="External"/><Relationship Id="rId67ch0uaffyix2ngqu26lx" Type="http://schemas.openxmlformats.org/officeDocument/2006/relationships/hyperlink" Target="https://dalil.kg/document/97124" TargetMode="External"/><Relationship Id="rIdbyohvr95v0x6sjespj6eg" Type="http://schemas.openxmlformats.org/officeDocument/2006/relationships/hyperlink" Target="https://dalil.kg/document/97902" TargetMode="External"/><Relationship Id="rIdof0dzn0-s315fxacsmqch" Type="http://schemas.openxmlformats.org/officeDocument/2006/relationships/hyperlink" Target="https://dalil.kg/document/97124" TargetMode="External"/><Relationship Id="rIdzy67lycef7hntkcdqo7hp" Type="http://schemas.openxmlformats.org/officeDocument/2006/relationships/hyperlink" Target="https://dalil.kg/document/99017" TargetMode="External"/><Relationship Id="rIdmbfwyanvw2jy5fjwmikec" Type="http://schemas.openxmlformats.org/officeDocument/2006/relationships/hyperlink" Target="https://dalil.kg/document/97124" TargetMode="External"/><Relationship Id="rIdtxntcjuq4pwp9qgvxyc1e" Type="http://schemas.openxmlformats.org/officeDocument/2006/relationships/hyperlink" Target="https://dalil.kg/document/99826" TargetMode="External"/><Relationship Id="rIdefkmsje3weabrneylzlc5" Type="http://schemas.openxmlformats.org/officeDocument/2006/relationships/hyperlink" Target="https://dalil.kg/document/97124" TargetMode="External"/><Relationship Id="rIdk5du-dlujafgg9xks8zvw" Type="http://schemas.openxmlformats.org/officeDocument/2006/relationships/hyperlink" Target="https://dalil.kg/document/100189" TargetMode="External"/><Relationship Id="rIddx1xotvessyxmuzmkorup" Type="http://schemas.openxmlformats.org/officeDocument/2006/relationships/hyperlink" Target="https://dalil.kg/document/97124" TargetMode="External"/><Relationship Id="rIdzkggr4vcxksoa2i05dhrw" Type="http://schemas.openxmlformats.org/officeDocument/2006/relationships/hyperlink" Target="https://dalil.kg/document/100206" TargetMode="External"/><Relationship Id="rId0nfoo7ffgrukqr-femzsm" Type="http://schemas.openxmlformats.org/officeDocument/2006/relationships/hyperlink" Target="https://dalil.kg/document/97124" TargetMode="External"/><Relationship Id="rIde-lgng9nr3xtytgsjzh3g" Type="http://schemas.openxmlformats.org/officeDocument/2006/relationships/hyperlink" Target="https://dalil.kg/document/12979" TargetMode="External"/><Relationship Id="rIdeoyemfajprwavitemz7vt" Type="http://schemas.openxmlformats.org/officeDocument/2006/relationships/hyperlink" Target="https://dalil.kg/document/97124" TargetMode="External"/><Relationship Id="rIdijporpuzrpottbjiea3z7" Type="http://schemas.openxmlformats.org/officeDocument/2006/relationships/hyperlink" Target="https://dalil.kg/document/158639#pr01" TargetMode="External"/><Relationship Id="rIdfpfdtjenhpegithnljjls" Type="http://schemas.openxmlformats.org/officeDocument/2006/relationships/hyperlink" Target="https://dalil.kg/document/158639#pr02" TargetMode="External"/><Relationship Id="rIdyyx__nai5zeh4znxfylau" Type="http://schemas.openxmlformats.org/officeDocument/2006/relationships/hyperlink" Target="https://dalil.kg/document/158639#pr03" TargetMode="External"/><Relationship Id="rIdvb3njrafnsfyjz72co2gp" Type="http://schemas.openxmlformats.org/officeDocument/2006/relationships/hyperlink" Target="https://dalil.kg/document/158639#pr04" TargetMode="External"/><Relationship Id="rIdxjgbkcu_ek5k98qc0hbkm" Type="http://schemas.openxmlformats.org/officeDocument/2006/relationships/hyperlink" Target="https://dalil.kg/document/158639#pr5" TargetMode="External"/><Relationship Id="rId2_u_bzf9gpk0-jgvvwokv" Type="http://schemas.openxmlformats.org/officeDocument/2006/relationships/hyperlink" Target="https://dalil.kg/document/159342" TargetMode="External"/><Relationship Id="rIdfidclhvgmdq1tr7opsqdr" Type="http://schemas.openxmlformats.org/officeDocument/2006/relationships/hyperlink" Target="https://dalil.kg/document/111338#st_34" TargetMode="External"/><Relationship Id="rIdjsknnmu3mbe2rp7lrjga9" Type="http://schemas.openxmlformats.org/officeDocument/2006/relationships/hyperlink" Target="https://dalil.kg/document/158645" TargetMode="External"/><Relationship Id="rIdnb56bynvb3kntzwwffmqy" Type="http://schemas.openxmlformats.org/officeDocument/2006/relationships/hyperlink" Target="https://dalil.kg/document/158639#pr6" TargetMode="External"/><Relationship Id="rIdsabzsilcx37h0yepf_jcw" Type="http://schemas.openxmlformats.org/officeDocument/2006/relationships/hyperlink" Target="https://dalil.kg/document/159342"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j_hbo6nztwy9ecfhri2q" Type="http://schemas.openxmlformats.org/officeDocument/2006/relationships/hyperlink" Target="https://dalil.kg/document/158639" TargetMode="External"/><Relationship Id="rIdkqfquwnfgr3o480trfps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2026-09-23T17:28:58.478Z</dcterms:created>
  <dcterms:modified xsi:type="dcterms:W3CDTF">2026-09-23T17:28:58.478Z</dcterms:modified>
</cp:coreProperties>
</file>

<file path=docProps/custom.xml><?xml version="1.0" encoding="utf-8"?>
<Properties xmlns="http://schemas.openxmlformats.org/officeDocument/2006/custom-properties" xmlns:vt="http://schemas.openxmlformats.org/officeDocument/2006/docPropsVTypes"/>
</file>