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jhhijpptqkb7lw4tklyy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4 ноября 2022 года № 616</w:t>
      </w:r>
    </w:p>
    <w:p>
      <w:pPr>
        <w:spacing w:after="120"/>
        <w:jc w:val="center"/>
      </w:pPr>
      <w:r>
        <w:rPr>
          <w:rFonts w:ascii="Arial" w:cs="Arial" w:eastAsia="Arial" w:hAnsi="Arial"/>
          <w:i/>
          <w:iCs/>
          <w:sz w:val="24"/>
          <w:szCs w:val="24"/>
        </w:rPr>
        <w:t xml:space="preserve">(к </w:t>
      </w:r>
      <w:hyperlink w:history="1" r:id="rIdqlvm3zmlxr8q3sx9bdkpt">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10 декабря 2021 года № 304)</w:t>
      </w:r>
    </w:p>
    <w:p>
      <w:pPr>
        <w:spacing w:after="400" w:before="400"/>
        <w:jc w:val="center"/>
      </w:pPr>
      <w:r>
        <w:rPr>
          <w:rFonts w:ascii="Arial" w:cs="Arial" w:eastAsia="Arial" w:hAnsi="Arial"/>
          <w:b/>
          <w:bCs/>
          <w:sz w:val="28"/>
          <w:szCs w:val="28"/>
        </w:rPr>
        <w:t xml:space="preserve">Положение</w:t>
      </w:r>
      <w:r>
        <w:rPr>
          <w:rFonts w:ascii="Arial" w:cs="Arial" w:eastAsia="Arial" w:hAnsi="Arial"/>
          <w:b/>
          <w:bCs/>
          <w:sz w:val="28"/>
          <w:szCs w:val="28"/>
        </w:rPr>
        <w:t xml:space="preserve">
 о порядке выпуска и погашения казначейских обязательств Министерства финансов Кыргызской Республики</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регулирует порядок выпуска и погашения казначейских обязательств Министерства финансов Кыргызской Республики (далее - уполномоченный государственный орган по прогнозированию и исполнению бюджета/уполномоченный орган).</w:t>
      </w:r>
    </w:p>
    <w:p>
      <w:pPr>
        <w:spacing w:after="60"/>
        <w:ind w:firstLine="567"/>
        <w:jc w:val="both"/>
      </w:pPr>
      <w:r>
        <w:rPr>
          <w:rFonts w:ascii="Arial" w:cs="Arial" w:eastAsia="Arial" w:hAnsi="Arial"/>
          <w:sz w:val="24"/>
          <w:szCs w:val="24"/>
        </w:rPr>
        <w:t xml:space="preserve">2. Казначейские обязательства являются именными государственными ценными бумагами. Эмитентом казначейских обязательств выступает уполномоченный орган.</w:t>
      </w:r>
    </w:p>
    <w:p>
      <w:pPr>
        <w:spacing w:after="60"/>
        <w:ind w:firstLine="567"/>
        <w:jc w:val="both"/>
      </w:pPr>
      <w:r>
        <w:rPr>
          <w:rFonts w:ascii="Arial" w:cs="Arial" w:eastAsia="Arial" w:hAnsi="Arial"/>
          <w:sz w:val="24"/>
          <w:szCs w:val="24"/>
        </w:rPr>
        <w:t xml:space="preserve">3. Казначейские обязательства могут выступать в качестве залога.</w:t>
      </w:r>
    </w:p>
    <w:p>
      <w:pPr>
        <w:spacing w:after="60"/>
        <w:ind w:firstLine="567"/>
        <w:jc w:val="both"/>
      </w:pPr>
      <w:r>
        <w:rPr>
          <w:rFonts w:ascii="Arial" w:cs="Arial" w:eastAsia="Arial" w:hAnsi="Arial"/>
          <w:sz w:val="24"/>
          <w:szCs w:val="24"/>
        </w:rPr>
        <w:t xml:space="preserve">4. Казначейские обязательства являются документом, дающим право в установленный срок на безусловное удовлетворение денежного требования, которое владелец казначейского обязательства предъявляет эмитенту.</w:t>
      </w:r>
    </w:p>
    <w:p>
      <w:pPr>
        <w:spacing w:after="200" w:before="200"/>
        <w:jc w:val="center"/>
      </w:pPr>
      <w:r>
        <w:rPr>
          <w:rFonts w:ascii="Arial" w:cs="Arial" w:eastAsia="Arial" w:hAnsi="Arial"/>
          <w:b/>
          <w:bCs/>
          <w:sz w:val="24"/>
          <w:szCs w:val="24"/>
        </w:rPr>
        <w:t xml:space="preserve">2. Определения и термины</w:t>
      </w:r>
    </w:p>
    <w:p>
      <w:pPr>
        <w:spacing w:after="60"/>
        <w:ind w:firstLine="567"/>
        <w:jc w:val="both"/>
      </w:pPr>
      <w:r>
        <w:rPr>
          <w:rFonts w:ascii="Arial" w:cs="Arial" w:eastAsia="Arial" w:hAnsi="Arial"/>
          <w:sz w:val="24"/>
          <w:szCs w:val="24"/>
        </w:rPr>
        <w:t xml:space="preserve">5. В настоящем Положении применяются следующие определения и термины:</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владелец ценной бумаги</w:t>
      </w:r>
      <w:r>
        <w:rPr>
          <w:rFonts w:ascii="Arial" w:cs="Arial" w:eastAsia="Arial" w:hAnsi="Arial"/>
          <w:sz w:val="24"/>
          <w:szCs w:val="24"/>
        </w:rPr>
        <w:t xml:space="preserve"> - физическое или юридическое лицо, владеющее ценной бумагой;</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казначейское обязательство</w:t>
      </w:r>
      <w:r>
        <w:rPr>
          <w:rFonts w:ascii="Arial" w:cs="Arial" w:eastAsia="Arial" w:hAnsi="Arial"/>
          <w:sz w:val="24"/>
          <w:szCs w:val="24"/>
        </w:rPr>
        <w:t xml:space="preserve"> - двухлетняя ценная бумага уполномоченного государственного органа по прогнозированию и исполнению бюджета, номинированная в национальной валюте, выпускаемая для урегулирования обязательств государственных органов;</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эмитент</w:t>
      </w:r>
      <w:r>
        <w:rPr>
          <w:rFonts w:ascii="Arial" w:cs="Arial" w:eastAsia="Arial" w:hAnsi="Arial"/>
          <w:sz w:val="24"/>
          <w:szCs w:val="24"/>
        </w:rPr>
        <w:t xml:space="preserve"> - юридическое лицо, которое от своего имени обязуется выполнять обязательства, вытекающие из условия выпуска ценных бумаг.</w:t>
      </w:r>
    </w:p>
    <w:p>
      <w:pPr>
        <w:spacing w:after="200" w:before="200"/>
        <w:jc w:val="center"/>
      </w:pPr>
      <w:r>
        <w:rPr>
          <w:rFonts w:ascii="Arial" w:cs="Arial" w:eastAsia="Arial" w:hAnsi="Arial"/>
          <w:b/>
          <w:bCs/>
          <w:sz w:val="24"/>
          <w:szCs w:val="24"/>
        </w:rPr>
        <w:t xml:space="preserve">3. Условия необходимости выпуска</w:t>
      </w:r>
    </w:p>
    <w:p>
      <w:pPr>
        <w:spacing w:after="60"/>
        <w:ind w:firstLine="567"/>
        <w:jc w:val="both"/>
      </w:pPr>
      <w:r>
        <w:rPr>
          <w:rFonts w:ascii="Arial" w:cs="Arial" w:eastAsia="Arial" w:hAnsi="Arial"/>
          <w:sz w:val="24"/>
          <w:szCs w:val="24"/>
        </w:rPr>
        <w:t xml:space="preserve">6. Казначейские обязательства выпускаются в целях урегулирования обязательств по кредиторской задолженности государственных органов.</w:t>
      </w:r>
    </w:p>
    <w:p>
      <w:pPr>
        <w:spacing w:after="60"/>
        <w:ind w:firstLine="567"/>
        <w:jc w:val="both"/>
      </w:pPr>
      <w:r>
        <w:rPr>
          <w:rFonts w:ascii="Arial" w:cs="Arial" w:eastAsia="Arial" w:hAnsi="Arial"/>
          <w:sz w:val="24"/>
          <w:szCs w:val="24"/>
        </w:rPr>
        <w:t xml:space="preserve">7. Выпуск казначейских обязательств для урегулирования обязательств может осуществляться только на основании приказа уполномоченного органа.</w:t>
      </w:r>
    </w:p>
    <w:p>
      <w:pPr>
        <w:spacing w:after="200" w:before="200"/>
        <w:jc w:val="center"/>
      </w:pPr>
      <w:r>
        <w:rPr>
          <w:rFonts w:ascii="Arial" w:cs="Arial" w:eastAsia="Arial" w:hAnsi="Arial"/>
          <w:b/>
          <w:bCs/>
          <w:sz w:val="24"/>
          <w:szCs w:val="24"/>
        </w:rPr>
        <w:t xml:space="preserve">4. Порядок выпуска казначейских обязательств</w:t>
      </w:r>
    </w:p>
    <w:p>
      <w:pPr>
        <w:spacing w:after="60"/>
        <w:ind w:firstLine="567"/>
        <w:jc w:val="both"/>
      </w:pPr>
      <w:r>
        <w:rPr>
          <w:rFonts w:ascii="Arial" w:cs="Arial" w:eastAsia="Arial" w:hAnsi="Arial"/>
          <w:sz w:val="24"/>
          <w:szCs w:val="24"/>
        </w:rPr>
        <w:t xml:space="preserve">8. Казначейские обязательства уполномоченного органа выпускаются в бумажной форме.</w:t>
      </w:r>
    </w:p>
    <w:p>
      <w:pPr>
        <w:spacing w:after="60"/>
        <w:ind w:firstLine="567"/>
        <w:jc w:val="both"/>
      </w:pPr>
      <w:r>
        <w:rPr>
          <w:rFonts w:ascii="Arial" w:cs="Arial" w:eastAsia="Arial" w:hAnsi="Arial"/>
          <w:sz w:val="24"/>
          <w:szCs w:val="24"/>
        </w:rPr>
        <w:t xml:space="preserve">9. Выпуск казначейских обязательств осуществляется сериями в соответствии с приказами уполномоченного органа, в которых должны быть указаны дата, условия выпуска и погашения каждой серии казначейских обязательств.</w:t>
      </w:r>
    </w:p>
    <w:p>
      <w:pPr>
        <w:spacing w:after="60"/>
        <w:ind w:firstLine="567"/>
        <w:jc w:val="both"/>
      </w:pPr>
      <w:r>
        <w:rPr>
          <w:rFonts w:ascii="Arial" w:cs="Arial" w:eastAsia="Arial" w:hAnsi="Arial"/>
          <w:sz w:val="24"/>
          <w:szCs w:val="24"/>
        </w:rPr>
        <w:t xml:space="preserve">10. Каждый выпуск казначейских обязательств имеет свой уникальный номер серии.</w:t>
      </w:r>
    </w:p>
    <w:p>
      <w:pPr>
        <w:spacing w:after="60"/>
        <w:ind w:firstLine="567"/>
        <w:jc w:val="both"/>
      </w:pPr>
      <w:r>
        <w:rPr>
          <w:rFonts w:ascii="Arial" w:cs="Arial" w:eastAsia="Arial" w:hAnsi="Arial"/>
          <w:sz w:val="24"/>
          <w:szCs w:val="24"/>
        </w:rPr>
        <w:t xml:space="preserve">11. Каждое казначейское обязательство одной серии имеет свой уникальный номер.</w:t>
      </w:r>
    </w:p>
    <w:p>
      <w:pPr>
        <w:spacing w:after="60"/>
        <w:ind w:firstLine="567"/>
        <w:jc w:val="both"/>
      </w:pPr>
      <w:r>
        <w:rPr>
          <w:rFonts w:ascii="Arial" w:cs="Arial" w:eastAsia="Arial" w:hAnsi="Arial"/>
          <w:sz w:val="24"/>
          <w:szCs w:val="24"/>
        </w:rPr>
        <w:t xml:space="preserve">12. Параметры казначейских обязательств определяются уполномоченным органом и устанавливаются в каждом казначейском обязательстве.</w:t>
      </w:r>
    </w:p>
    <w:p>
      <w:pPr>
        <w:spacing w:after="60"/>
        <w:ind w:firstLine="567"/>
        <w:jc w:val="both"/>
      </w:pPr>
      <w:r>
        <w:rPr>
          <w:rFonts w:ascii="Arial" w:cs="Arial" w:eastAsia="Arial" w:hAnsi="Arial"/>
          <w:sz w:val="24"/>
          <w:szCs w:val="24"/>
        </w:rPr>
        <w:t xml:space="preserve">13. Начисление процентов по казначейским обязательствам не предусматривается (беспроцентные).</w:t>
      </w:r>
    </w:p>
    <w:p>
      <w:pPr>
        <w:spacing w:after="60"/>
        <w:ind w:firstLine="567"/>
        <w:jc w:val="both"/>
      </w:pPr>
      <w:r>
        <w:rPr>
          <w:rFonts w:ascii="Arial" w:cs="Arial" w:eastAsia="Arial" w:hAnsi="Arial"/>
          <w:sz w:val="24"/>
          <w:szCs w:val="24"/>
        </w:rPr>
        <w:t xml:space="preserve">14. Данные о выпуске каждой серии казначейских обязательств заносятся в Государственную книгу регистрации и учета казначейских обязательств Кыргызской Республики (далее - Государственная книга).</w:t>
      </w:r>
    </w:p>
    <w:p>
      <w:pPr>
        <w:spacing w:after="60"/>
        <w:ind w:firstLine="567"/>
        <w:jc w:val="both"/>
      </w:pPr>
      <w:r>
        <w:rPr>
          <w:rFonts w:ascii="Arial" w:cs="Arial" w:eastAsia="Arial" w:hAnsi="Arial"/>
          <w:sz w:val="24"/>
          <w:szCs w:val="24"/>
        </w:rPr>
        <w:t xml:space="preserve">15. Выпуск казначейских обязательств и регистрация права требования при передаче третьим лицам казначейских обязательств осуществляются уполномоченным органом. Владелец при передаче казначейских обязательств третьим лицам официально информирует уполномоченный орган.</w:t>
      </w:r>
    </w:p>
    <w:p>
      <w:pPr>
        <w:spacing w:after="60"/>
        <w:ind w:firstLine="567"/>
        <w:jc w:val="both"/>
      </w:pPr>
      <w:r>
        <w:rPr>
          <w:rFonts w:ascii="Arial" w:cs="Arial" w:eastAsia="Arial" w:hAnsi="Arial"/>
          <w:sz w:val="24"/>
          <w:szCs w:val="24"/>
        </w:rPr>
        <w:t xml:space="preserve">16. При совершении операций купли-продажи и иных операций, влекущих за собой передачу права владения казначейскими обязательствами, включая залоговые отношения, производится запись о совершении операции на обратной стороне казначейских обязательств. Данная запись должна быть зарегистрирована в Государственной книге.</w:t>
      </w:r>
    </w:p>
    <w:p>
      <w:pPr>
        <w:spacing w:after="60"/>
        <w:ind w:firstLine="567"/>
        <w:jc w:val="both"/>
      </w:pPr>
      <w:r>
        <w:rPr>
          <w:rFonts w:ascii="Arial" w:cs="Arial" w:eastAsia="Arial" w:hAnsi="Arial"/>
          <w:sz w:val="24"/>
          <w:szCs w:val="24"/>
        </w:rPr>
        <w:t xml:space="preserve">17. Налогообложение доходов по казначейским обязательствам осуществляется в соответствии с налоговым законодательством Кыргызской Республики.</w:t>
      </w:r>
    </w:p>
    <w:p>
      <w:pPr>
        <w:spacing w:after="200" w:before="200"/>
        <w:jc w:val="center"/>
      </w:pPr>
      <w:r>
        <w:rPr>
          <w:rFonts w:ascii="Arial" w:cs="Arial" w:eastAsia="Arial" w:hAnsi="Arial"/>
          <w:b/>
          <w:bCs/>
          <w:sz w:val="24"/>
          <w:szCs w:val="24"/>
        </w:rPr>
        <w:t xml:space="preserve">5. Погашение казначейских обязательств</w:t>
      </w:r>
    </w:p>
    <w:p>
      <w:pPr>
        <w:spacing w:after="60"/>
        <w:ind w:firstLine="567"/>
        <w:jc w:val="both"/>
      </w:pPr>
      <w:r>
        <w:rPr>
          <w:rFonts w:ascii="Arial" w:cs="Arial" w:eastAsia="Arial" w:hAnsi="Arial"/>
          <w:sz w:val="24"/>
          <w:szCs w:val="24"/>
        </w:rPr>
        <w:t xml:space="preserve">18. Погашение казначейских обязательств осуществляется уполномоченным органом путем перевода денежных средств согласно номинальной стоимости казначейских обязательств на счета последних владельцев казначейских обязательств.</w:t>
      </w:r>
    </w:p>
    <w:p>
      <w:pPr>
        <w:spacing w:after="60"/>
        <w:ind w:firstLine="567"/>
        <w:jc w:val="both"/>
      </w:pPr>
      <w:r>
        <w:rPr>
          <w:rFonts w:ascii="Arial" w:cs="Arial" w:eastAsia="Arial" w:hAnsi="Arial"/>
          <w:sz w:val="24"/>
          <w:szCs w:val="24"/>
        </w:rPr>
        <w:t xml:space="preserve">19. Погашение казначейских обязательств осуществляется после наступления даты погашения, указанной в казначейских обязательствах и приказе уполномоченного органа, занесенной в Государственную книгу.</w:t>
      </w:r>
    </w:p>
    <w:p>
      <w:pPr>
        <w:spacing w:after="60"/>
        <w:ind w:firstLine="567"/>
        <w:jc w:val="both"/>
      </w:pPr>
      <w:r>
        <w:rPr>
          <w:rFonts w:ascii="Arial" w:cs="Arial" w:eastAsia="Arial" w:hAnsi="Arial"/>
          <w:sz w:val="24"/>
          <w:szCs w:val="24"/>
        </w:rPr>
        <w:t xml:space="preserve">20. Владелец представляет казначейские обязательства для погашения в уполномоченный орган, который оформляет соответствующий акт приема-передачи. Процедура погашения казначейских обязательств осуществляется согласно Положению о Государственной книге.</w:t>
      </w:r>
    </w:p>
    <w:p>
      <w:pPr>
        <w:spacing w:after="60"/>
        <w:ind w:firstLine="567"/>
        <w:jc w:val="both"/>
      </w:pPr>
      <w:r>
        <w:rPr>
          <w:rFonts w:ascii="Arial" w:cs="Arial" w:eastAsia="Arial" w:hAnsi="Arial"/>
          <w:sz w:val="24"/>
          <w:szCs w:val="24"/>
        </w:rPr>
        <w:t xml:space="preserve">21. Уполномоченный орган в течение 10 (десять) рабочих дней осуществляет перевод денежных средств с единого казначейского счета уполномоченного органа на счета последних владельцев казначейских обязательств.</w:t>
      </w:r>
    </w:p>
    <w:p>
      <w:pPr>
        <w:spacing w:after="60"/>
        <w:ind w:firstLine="567"/>
        <w:jc w:val="both"/>
      </w:pPr>
      <w:r>
        <w:rPr>
          <w:rFonts w:ascii="Arial" w:cs="Arial" w:eastAsia="Arial" w:hAnsi="Arial"/>
          <w:sz w:val="24"/>
          <w:szCs w:val="24"/>
        </w:rPr>
        <w:t xml:space="preserve">22. Погашение осуществляется только при соответствии записей в Государственной книге записям на обратной стороне казначейских обязательств.</w:t>
      </w:r>
    </w:p>
    <w:p>
      <w:pPr>
        <w:spacing w:after="200" w:before="200"/>
        <w:jc w:val="center"/>
      </w:pPr>
      <w:r>
        <w:rPr>
          <w:rFonts w:ascii="Arial" w:cs="Arial" w:eastAsia="Arial" w:hAnsi="Arial"/>
          <w:b/>
          <w:bCs/>
          <w:sz w:val="24"/>
          <w:szCs w:val="24"/>
        </w:rPr>
        <w:t xml:space="preserve">6. Контроль за выпуском, передачей и погашением казначейских обязательств</w:t>
      </w:r>
    </w:p>
    <w:p>
      <w:pPr>
        <w:spacing w:after="60"/>
        <w:ind w:firstLine="567"/>
        <w:jc w:val="both"/>
      </w:pPr>
      <w:r>
        <w:rPr>
          <w:rFonts w:ascii="Arial" w:cs="Arial" w:eastAsia="Arial" w:hAnsi="Arial"/>
          <w:sz w:val="24"/>
          <w:szCs w:val="24"/>
        </w:rPr>
        <w:t xml:space="preserve">23. Для осуществления контроля за выпуском, передачей и погашением казначейских обязательств ведется Государственная книга, которая заводится отдельно по каждой выпущенной серии казначейских обязательств.</w:t>
      </w:r>
    </w:p>
    <w:p>
      <w:pPr>
        <w:spacing w:after="60"/>
        <w:ind w:firstLine="567"/>
        <w:jc w:val="both"/>
      </w:pPr>
      <w:r>
        <w:rPr>
          <w:rFonts w:ascii="Arial" w:cs="Arial" w:eastAsia="Arial" w:hAnsi="Arial"/>
          <w:sz w:val="24"/>
          <w:szCs w:val="24"/>
        </w:rPr>
        <w:t xml:space="preserve">24. В Государственной книге ведется запись движения каждого уникального номера казначейского обязательства, которая скрепляется печатью.</w:t>
      </w:r>
    </w:p>
    <w:p>
      <w:pPr>
        <w:spacing w:after="60"/>
        <w:ind w:firstLine="567"/>
        <w:jc w:val="both"/>
      </w:pPr>
      <w:r>
        <w:rPr>
          <w:rFonts w:ascii="Arial" w:cs="Arial" w:eastAsia="Arial" w:hAnsi="Arial"/>
          <w:sz w:val="24"/>
          <w:szCs w:val="24"/>
        </w:rPr>
        <w:t xml:space="preserve">25. На каждом уникальном номере казначейских обязательств указываются основные условия выпуска каждой серии казначейских обязательств, а именно объем, дата выпуска, дата погашения, номинальная стоимость и иные условия, установленные уполномоченным органом при их выпуске.</w:t>
      </w:r>
    </w:p>
    <w:p>
      <w:pPr>
        <w:spacing w:after="60"/>
        <w:ind w:firstLine="567"/>
        <w:jc w:val="both"/>
      </w:pPr>
      <w:r>
        <w:rPr>
          <w:rFonts w:ascii="Arial" w:cs="Arial" w:eastAsia="Arial" w:hAnsi="Arial"/>
          <w:sz w:val="24"/>
          <w:szCs w:val="24"/>
        </w:rPr>
        <w:t xml:space="preserve">26. Погашение казначейских обязательств осуществляется уполномоченным органом по предъявлении владельцами казначейских обязательств.</w:t>
      </w:r>
    </w:p>
    <w:p>
      <w:pPr>
        <w:spacing w:after="200" w:before="200"/>
        <w:jc w:val="center"/>
      </w:pPr>
      <w:r>
        <w:rPr>
          <w:rFonts w:ascii="Arial" w:cs="Arial" w:eastAsia="Arial" w:hAnsi="Arial"/>
          <w:b/>
          <w:bCs/>
          <w:sz w:val="24"/>
          <w:szCs w:val="24"/>
        </w:rPr>
        <w:t xml:space="preserve">7. Отзыв (аннулирование) казначейских обязательств</w:t>
      </w:r>
    </w:p>
    <w:p>
      <w:pPr>
        <w:spacing w:after="60"/>
        <w:ind w:firstLine="567"/>
        <w:jc w:val="both"/>
      </w:pPr>
      <w:r>
        <w:rPr>
          <w:rFonts w:ascii="Arial" w:cs="Arial" w:eastAsia="Arial" w:hAnsi="Arial"/>
          <w:sz w:val="24"/>
          <w:szCs w:val="24"/>
        </w:rPr>
        <w:t xml:space="preserve">27. Отзыв казначейских обязательств - это односторонний отказ от исполнения обязательства по казначейским обязательствам в случаях и порядке, предусмотренных законодательством Кыргызской Республики и настоящим Положением.</w:t>
      </w:r>
    </w:p>
    <w:p>
      <w:pPr>
        <w:spacing w:after="60"/>
        <w:ind w:firstLine="567"/>
        <w:jc w:val="both"/>
      </w:pPr>
      <w:r>
        <w:rPr>
          <w:rFonts w:ascii="Arial" w:cs="Arial" w:eastAsia="Arial" w:hAnsi="Arial"/>
          <w:sz w:val="24"/>
          <w:szCs w:val="24"/>
        </w:rPr>
        <w:t xml:space="preserve">28. Уполномоченный орган при выпуске казначейских обязательств указывает ответственность их владельца. При несоблюдении им (держателем казначейских обязательств) условий эмиссии казначейских обязательств уполномоченный орган вправе отозвать казначейские обязательства путем издания приказа, подписанного министром финансов Кыргызской Республики, с обязательным уведомлением держателя казначейских обязательств.</w:t>
      </w:r>
    </w:p>
    <w:p>
      <w:pPr>
        <w:spacing w:after="200" w:before="200"/>
        <w:jc w:val="center"/>
      </w:pPr>
      <w:r>
        <w:rPr>
          <w:rFonts w:ascii="Arial" w:cs="Arial" w:eastAsia="Arial" w:hAnsi="Arial"/>
          <w:b/>
          <w:bCs/>
          <w:sz w:val="24"/>
          <w:szCs w:val="24"/>
        </w:rPr>
        <w:t xml:space="preserve">8. Ответственность сторон</w:t>
      </w:r>
    </w:p>
    <w:p>
      <w:pPr>
        <w:spacing w:after="60"/>
        <w:ind w:firstLine="567"/>
        <w:jc w:val="both"/>
      </w:pPr>
      <w:r>
        <w:rPr>
          <w:rFonts w:ascii="Arial" w:cs="Arial" w:eastAsia="Arial" w:hAnsi="Arial"/>
          <w:sz w:val="24"/>
          <w:szCs w:val="24"/>
        </w:rPr>
        <w:t xml:space="preserve">29. Уполномоченный орган и держатели казначейских обязательств несут взаимную ответственность за исполнение условий выпуска, передачи и погашения казначейских обязательств согласно законодательству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vzhj5ezgy0e1ont14pew">
      <w:r>
        <w:rPr>
          <w:rFonts w:ascii="Arial" w:cs="Arial" w:eastAsia="Arial" w:hAnsi="Arial"/>
          <w:color w:val="132D3F"/>
          <w:sz w:val="16"/>
          <w:szCs w:val="16"/>
          <w:u w:val="single"/>
        </w:rPr>
        <w:t xml:space="preserve">dalil.kg/document/158822</w:t>
      </w:r>
    </w:hyperlink>
  </w:p>
  <w:p>
    <w:pPr>
      <w:spacing w:after="0" w:before="40"/>
      <w:jc w:val="center"/>
    </w:pPr>
    <w:hyperlink w:history="1" r:id="rIdzsl-cyg_zi73t9knywen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hhijpptqkb7lw4tklyys" Type="http://schemas.openxmlformats.org/officeDocument/2006/relationships/hyperlink" Target="https://dalil.kg/document/159674" TargetMode="External"/><Relationship Id="rIdqlvm3zmlxr8q3sx9bdkpt" Type="http://schemas.openxmlformats.org/officeDocument/2006/relationships/hyperlink" Target="https://dalil.kg/document/15882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vzhj5ezgy0e1ont14pew" Type="http://schemas.openxmlformats.org/officeDocument/2006/relationships/hyperlink" Target="https://dalil.kg/document/158822" TargetMode="External"/><Relationship Id="rIdzsl-cyg_zi73t9knywen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2026-09-28T04:04:40.991Z</dcterms:created>
  <dcterms:modified xsi:type="dcterms:W3CDTF">2026-09-28T04:04:40.991Z</dcterms:modified>
</cp:coreProperties>
</file>

<file path=docProps/custom.xml><?xml version="1.0" encoding="utf-8"?>
<Properties xmlns="http://schemas.openxmlformats.org/officeDocument/2006/custom-properties" xmlns:vt="http://schemas.openxmlformats.org/officeDocument/2006/docPropsVTypes"/>
</file>