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j_yrzkh84ocmgzn9ugb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января 2026 года № 27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t1qdv7crpsn6sqtt8sx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Кабинетом Министров КР
 от 24 декабря 2021 года № 349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 по формированию, рассмотрению и исполнению среднесрочных стратегий бюджетных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разработана в соответствии со </w:t>
      </w:r>
      <w:hyperlink w:history="1" r:id="rIdi2rjfgxriqh2pelji2w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84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устанавливает порядок формирования (разработки/обновления), а также рассмотрения среднесрочных стратегий бюджетных расходов (далее – ССБР) главными распорядителями бюджетных средств (далее – ГРБС). Перечень ГРБС, формирующих ССБР, ежегодно определяется решением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ССБР определяют стратегическую цель и задачи сектора/отрасли, бюджетные программы, а также показатели результатов деятельности государственных органов, уполномоченных проводить государственную политику в соответствующем секторе/отрасли.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ССБР ежегодно формируются, обновляются и уточняются как часть документа «Основные направления фискальной политики Кыргызской Республики». ССБР предназначены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объективной оценки ситуации в секторе/отрасли и формирования прогнозов развития на среднесрочный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принятия новых инициатив и направлений по развитию сектора/отрасли;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создания основы для формирования проекта бюджета на очередной бюджетный год и прогнозируемый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Подготовка и рассмотрение проекта ССБР осуществляются по графику, приведенному в таблице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 ежегодного цикла формирования ССБР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"/>
        <w:gridCol w:w="7910"/>
        <w:gridCol w:w="1681"/>
        <w:gridCol w:w="500"/>
      </w:tblGrid>
      <w:tr>
        <w:tc>
          <w:tcPr>
            <w:tcW w:type="dxa" w:w="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Этапы</w:t>
            </w:r>
          </w:p>
        </w:tc>
        <w:tc>
          <w:tcPr>
            <w:tcW w:type="dxa" w:w="16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органы</w:t>
            </w:r>
          </w:p>
        </w:tc>
        <w:tc>
          <w:tcPr>
            <w:tcW w:type="dxa" w:w="5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</w:t>
            </w:r>
          </w:p>
        </w:tc>
      </w:tr>
      <w:tr>
        <w:tc>
          <w:tcPr>
            <w:tcW w:type="dxa" w:w="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проекта бюджетного календаря и его утверждение решением Кабинета Министров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УГО, Соцфонд, ФОМС, Кабинет Министров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</w:t>
            </w:r>
          </w:p>
        </w:tc>
      </w:tr>
      <w:tr>
        <w:tc>
          <w:tcPr>
            <w:tcW w:type="dxa" w:w="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подготовки проекта ССБР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ГРБС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апреля</w:t>
            </w:r>
          </w:p>
        </w:tc>
      </w:tr>
      <w:tr>
        <w:tc>
          <w:tcPr>
            <w:tcW w:type="dxa" w:w="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проекта ССБР на официальном веб-сайте ГРБС и оповещение о проведении общественных слушаний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ГРБС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апреля</w:t>
            </w:r>
          </w:p>
        </w:tc>
      </w:tr>
      <w:tr>
        <w:tc>
          <w:tcPr>
            <w:tcW w:type="dxa" w:w="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общественных слушаний по проекту ССБР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ГРБС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мая</w:t>
            </w:r>
          </w:p>
        </w:tc>
      </w:tr>
      <w:tr>
        <w:tc>
          <w:tcPr>
            <w:tcW w:type="dxa" w:w="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проекта ССБР в УГО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ГРБС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мая</w:t>
            </w:r>
          </w:p>
        </w:tc>
      </w:tr>
      <w:tr>
        <w:tc>
          <w:tcPr>
            <w:tcW w:type="dxa" w:w="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и согласование финансовых параметров проекта ССБР с УГО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ГРБС, УГО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мая</w:t>
            </w:r>
          </w:p>
        </w:tc>
      </w:tr>
      <w:tr>
        <w:tc>
          <w:tcPr>
            <w:tcW w:type="dxa" w:w="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Обобщение представленных проектов ССБР для включения в проект акта «Основные направления фискальной политики на среднесрочный период» (далее – ОНФП)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мая</w:t>
            </w:r>
          </w:p>
        </w:tc>
      </w:tr>
      <w:tr>
        <w:tc>
          <w:tcPr>
            <w:tcW w:type="dxa" w:w="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проекта ОНФП и материалов по имеющимся разногласиям в Совет Кабинета Министров по фискальной и инвестиционной политике Кыргызской Республики (далее – Совет Кабинета Министров)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июня</w:t>
            </w:r>
          </w:p>
        </w:tc>
      </w:tr>
      <w:tr>
        <w:tc>
          <w:tcPr>
            <w:tcW w:type="dxa" w:w="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проекта ОНФП и устранение разногласий по контрольным цифрам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Кабинета Министров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июня</w:t>
            </w:r>
          </w:p>
        </w:tc>
      </w:tr>
      <w:tr>
        <w:tc>
          <w:tcPr>
            <w:tcW w:type="dxa" w:w="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Одобрение ОНФП Советом Кабинета Министров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Кабинета Министров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июня</w:t>
            </w:r>
          </w:p>
        </w:tc>
      </w:tr>
      <w:tr>
        <w:tc>
          <w:tcPr>
            <w:tcW w:type="dxa" w:w="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ОНФП на официальном веб-сайте УГО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июня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понятия и термины, используемые в настоящей Инструкции: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администратор бюджетной программы</w:t>
      </w:r>
      <w:r>
        <w:rPr>
          <w:rFonts w:ascii="Arial" w:cs="Arial" w:eastAsia="Arial" w:hAnsi="Arial"/>
          <w:sz w:val="24"/>
          <w:szCs w:val="24"/>
        </w:rPr>
        <w:t xml:space="preserve"> – должностное лицо ГРБС, несущее ответственность за координацию процесса планирования и реализации бюджетной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бюджетная мера</w:t>
      </w:r>
      <w:r>
        <w:rPr>
          <w:rFonts w:ascii="Arial" w:cs="Arial" w:eastAsia="Arial" w:hAnsi="Arial"/>
          <w:sz w:val="24"/>
          <w:szCs w:val="24"/>
        </w:rPr>
        <w:t xml:space="preserve"> – составная часть бюджетной программы, представляющая собой виды деятельности (мероприятия, проекты, постоянно выполняемые функции, регулярные закупки), напрямую способствующие реализации бюджетной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бюджетная программа</w:t>
      </w:r>
      <w:r>
        <w:rPr>
          <w:rFonts w:ascii="Arial" w:cs="Arial" w:eastAsia="Arial" w:hAnsi="Arial"/>
          <w:sz w:val="24"/>
          <w:szCs w:val="24"/>
        </w:rPr>
        <w:t xml:space="preserve"> – комплекс взаимосвязанных мер, направленных на достижение результатов, связанных с целями национальной стратегии и/или стратегических/программных документов развития, и/или функциями государственного управления/местного самоуправления, обеспечиваемых бюджетными средствами. Бюджетная программа направлена на выполнение одной из задач сектора/отрасли;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индикаторы результативности</w:t>
      </w:r>
      <w:r>
        <w:rPr>
          <w:rFonts w:ascii="Arial" w:cs="Arial" w:eastAsia="Arial" w:hAnsi="Arial"/>
          <w:sz w:val="24"/>
          <w:szCs w:val="24"/>
        </w:rPr>
        <w:t xml:space="preserve"> – показатели, характеризующие степень достижения запланированных результатов или конкретное состояние сектора/отрасли. Индикаторы результативности используются в качестве ориентиров для достижения целей сектора/отрасли или в качестве критериев оценки деятельности ГРБС;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стратегическая цель</w:t>
      </w:r>
      <w:r>
        <w:rPr>
          <w:rFonts w:ascii="Arial" w:cs="Arial" w:eastAsia="Arial" w:hAnsi="Arial"/>
          <w:sz w:val="24"/>
          <w:szCs w:val="24"/>
        </w:rPr>
        <w:t xml:space="preserve"> – конкретное состояние сектора/отрасли, достижение которого является желательным с общественной точки зрения;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прогнозные показатели</w:t>
      </w:r>
      <w:r>
        <w:rPr>
          <w:rFonts w:ascii="Arial" w:cs="Arial" w:eastAsia="Arial" w:hAnsi="Arial"/>
          <w:sz w:val="24"/>
          <w:szCs w:val="24"/>
        </w:rPr>
        <w:t xml:space="preserve"> – показатели прогнозируемого периода, закрепленные законом о республиканском бюджете в предыдущем цикле формирования республиканского бюджета (прогнозные показатели), на основании которого осуществляется распределение бюджетных средств по программам при формировании ССБР;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программная структура</w:t>
      </w:r>
      <w:r>
        <w:rPr>
          <w:rFonts w:ascii="Arial" w:cs="Arial" w:eastAsia="Arial" w:hAnsi="Arial"/>
          <w:sz w:val="24"/>
          <w:szCs w:val="24"/>
        </w:rPr>
        <w:t xml:space="preserve"> – перечень бюджетных программ и составляющих их бюджетных мер;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(УГО) – уполномоченный государственный орган по прогнозированию и исполнению бюджета (далее – уполномоченный государственный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Организация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ГРБС создает рабочую группу из представителей профильных, стратегических, экономических и финансовых подразделений и подведомственных организаций (далее – рабочая группа). Рабочую группу возглавляет заместитель министра или руководитель аппарата ГРБС. Рабочая группа исполняет основную функцию по формированию ССБР сектора/отрасли, политику которых определяет ГРБС. ГРБС в срок до 20 марта направляет в уполномоченный государственный орган копию ведомственного акта о создании рабочей группы, а также контактные данные администраторов бюджетных программ и ответственного сотрудника, осуществляющего взаимодействие с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если ГРБС отвечает за управление и реализацию политики в нескольких секторах/отраслях, то он разрабатывает несколько ССБР для каждого отдельного сектора/отрасли. Рабочая группа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координация и организация работы по формированию/обновлению проекта ССБР;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обсуждение ключевых вопросов, формулировка бюджетных программ, принятие решений по приоритетам в распределении бюджетных расходов по бюджетным программам, определение ожидаемых результатов от реализации бюджетных программ, подготовка и представление проекта ССБР в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если в управлении и реализации политики сектора/отрасли задействовано несколько государственных органов, создаются межведомственные рабочие группы по согласованию с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Деятельность рабочей группы осуществляется в соответствии с графиком работы, приведенным в таблице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"/>
        <w:gridCol w:w="1910"/>
        <w:gridCol w:w="7706"/>
        <w:gridCol w:w="476"/>
      </w:tblGrid>
      <w:tr>
        <w:tc>
          <w:tcPr>
            <w:tcW w:type="dxa" w:w="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Этап</w:t>
            </w:r>
          </w:p>
        </w:tc>
        <w:tc>
          <w:tcPr>
            <w:tcW w:type="dxa" w:w="7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</w:t>
            </w:r>
          </w:p>
        </w:tc>
      </w:tr>
      <w:tr>
        <w:tc>
          <w:tcPr>
            <w:tcW w:type="dxa" w:w="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процесса подготовки проекта ССБР</w:t>
            </w:r>
          </w:p>
        </w:tc>
        <w:tc>
          <w:tcPr>
            <w:tcW w:type="dxa" w:w="7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Утверждение ведомственным актом состава рабочей группы. Назначение сотрудника, ответственного за взаимодействие с уполномоченным государственным органом по вопросам подготовки проекта ССБР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18 марта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Направление в уполномоченный государственный орган копии ведомственного акта о создании рабочей группы, а также контактных данных администраторов бюджетных программ и ответственного сотрудника, осуществляющего контакт с уполномоченным государственным органом по вопросам подготовки проекта ССБР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марта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Проведение встреч рабочей группы по обсуждению основных направлений отраслевой политики, определению бюджетных программ проекта ССБР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марта</w:t>
            </w:r>
          </w:p>
        </w:tc>
      </w:tr>
      <w:tr>
        <w:tc>
          <w:tcPr>
            <w:tcW w:type="dxa" w:w="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разработки ССБР</w:t>
            </w:r>
          </w:p>
        </w:tc>
        <w:tc>
          <w:tcPr>
            <w:tcW w:type="dxa" w:w="7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Определение бюджетных программ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марта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Представление администраторами бюджетных программ описательной части бюджетных программ (по форме согласно приложению 1 к настоящей Инструкции) для обсуждения на заседании рабочей группы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апреля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Выработка администраторами бюджетных программ предложений по индикаторам результативности для бюджетных программ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апреля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Обсуждение и согласование бюджетных программ, индикаторов результативности бюджетных программ на заседаниях рабочей группы, с участием представителей гражданского общества либо общественного совета (при наличии)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апреля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Формирование ССБР по форме согласно приложению 1 к настоящей Инструкции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апреля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Общественное обсуждение проекта ССБР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Доработка проекта ССБР с учетом замечаний и предложений по итогам проведения общественных слушаний по проекту ССБР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28 апреля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Одобрение проекта ССБР руководителем ГРБС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 мая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Представление ССБР в уполномоченный государственный орган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мая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Проект ССБР одобряется руководителем ГРБС до представления в уполномоченный государственный орган. Для секторов/отраслей, в управлении и реализации политики которых задействовано несколько ГРБС, проект ССБР одобряется подписями их руководителей.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Проект ССБР представляется в уполномоченный государственный орган в срок до 1 мая текущего года на бумажном и электронном носителях, на государственном и официальном языках, согласно приложениям 1, 2. Электронные форматы документов для заполнения предоставляются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Пакет документов по проекту ССБР формируется и представляется в уполномоченный государственный орган в соответствии с </w:t>
      </w:r>
      <w:hyperlink w:history="1" r:id="rIdti5lp0kvfdyg3idbnpr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Ресурсная основа ССБР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Ресурсной основой формирования проекта ССБР являются показатели прогнозируемого периода, закрепленные законом Кыргызской Республики о республиканском бюджете в предыдущем цикле формирования республиканского бюджета (прогнозные показатели).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Общая сумма расходов по бюджетным программам, представленным в проекте ССБР, должна соответствовать прогнозным показателям по ГРБС, с учетом структурных изменений, произошедших с момента утверждения прогнозных показателей. Отклонения от прогнозных показателей не могут превышать 10 процентов. В первую очередь, такие отклонения должны включать новые текущие расходы по обеспечению деятельности активов, созданных в результате реализации инвестиционных проектов. Отклонения подлежат обсуждению с уполномоченным государственным органом. В случае формирования проекта ССБР совместно с несколькими ГРБС, общая сумма расходов по бюджетным программам, представленным в ССБР, должна соответствовать общей сумме прогнозных показателей по ГРБС, формирующим ССБР, с учетом структурных изменений, произошедших с момента утверждения прогнозных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Новые бюджетные программы, требующие дополнительного финансирования, выходящего за рамки прогнозных показателей, представляются ГРБС в ССБР в виде сценария бюджетной программы с определением мер. Новые бюджетные программы, требующие дополнительного финансирования, включенные в ССБР в виде сценария, и их стоимость отображаются только в текстовой части ССБР.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наличии внебюджетных источников финансирования программ (подтвержденные средства партнеров по развитию, средства фондов развития), частных средств, а также средств других бюджетов бюджетной системы, направленных на достижение цели программы, вышеуказанные средства указываются в текстовой части ССБР по каждой бюджетной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случаях когда ГРБС, вовлеченный в реализацию бюджетной программы, является не единственным исполнителем, в текстовой части ССБР отражается подробная информация о соисполнителях, их роли в достижении ожидаемых результатов бюджетной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Формат и порядок подготовки проекта ССБР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Процесс формирования проекта ССБР состоит из следующих шагов: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описание сектора/отрасли;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стратегической цели сектора/отрасли;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задач сектора/отрасли;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формулирование/обновление бюджетных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распределение финансовых средств по бюджетным программам;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определение индикаторов результативности для каждой бюджетной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Каждый шаг процесса формирования проекта ССБР сопровождается описанием. Требования к содержанию и описанию разделов ССБР изложены в </w:t>
      </w:r>
      <w:hyperlink w:history="1" r:id="rId6awla4avts10kyzzzlo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Описание сектора/отрасли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Процесс разработки проекта ССБР начинается с описания сектора/отрасли, к которой относится ГРБС.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требованиями к описанию сектора/отрасли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описание особенностей (масштаб и основные составляющие) и состояния (проблемы и достижения) сектора/отрасли на момент формирования проекта ССБР, с приведением краткой статистики за последний отчетный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роль ГРБС в определении и реализации политики сектора/отрасли;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перечисление других ГРБС (если таковые имеются), участвующих в управлении и развитии сектора/отрасли, с описанием распределения их обязанностей и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Описание сектора/отрасли представляется в ССБР по форме согласно приложению 1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Определение стратегической цели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ГРБС должен сформулировать стратегическую цель сектора/отрасли. В случаях когда ГРБС не принадлежит к конкретному сектору/отрасли, формулируется стратегическая цель организации. Если стратегическая цель сектора/отрасли уже была сформирована ранее и была согласована с уполномоченным государственным органом, то она остается в прежней редакции, кроме тех случаев, когда формулировку цели необходимо пересмотреть в связи с пересмотром отраслевой политики или проводимыми реформами.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формулировке стратегической цели предъявляются следующие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приоритетам стратегий/программ развития национального уровня и/или секторальных стратегических/программных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четкость, определенность и краткость формулировки;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достижимость и измеримость (предпочтительно);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отражение общественной значимости/выгоды от деятельности ГРБС;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направленность на достижение конкретного результата, а не на процесс.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Формулировка стратегической цели должна быть понятной и не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специальных терминов и аббревиатур, затрудняющих ее понимание;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терминов, понятий и выражений, которые допускают произвольное или неоднозначное толкование;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указаний на иные цели, задачи, эффекты или результаты, которые являются следствием достижения самой стратегической цели;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описания средств и методов достижения стратегической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Стратегическая цель сектора/отрасли вносится в раздел «Стратегическая цель» ССБР по форме согласно </w:t>
      </w:r>
      <w:hyperlink w:history="1" r:id="rIdxxsslidn1bsnz-tlupx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Определение задач сектора/отрасли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Задачи сектора/отрасли должны быть направлены на достижение стратегической цели и отражать основные приоритетные направления деятельности. Задачи сектора/отрасли являются основой для определения бюджетных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сектора/отрасли должны отвечать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задачи должны соответствовать приоритетам стратегий/программ развития национального уровня и/или секторальных стратегических/программных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формулировка задач должна быть краткой и четкой, без специальных терминов и аббревиатур, затрудняющих их понимание;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задачи не должны дублировать формулировку стратегической цели сектора/отрасли;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количество задач не должно быть большим (рекомендуется не более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совокупность задач сектора/отрасли по отношению к цели сектора/отрасли должна отвечать принципам необходимости (решение каждой задачи является необходимым условием достижения цели) и достаточности (решение всех задач является достаточным условием достижения цели);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недопустима постановка задач, направленных на обеспечение деятельности ГРБС;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перечень задач не должен дублировать перечень функций из положения, регулирующего деятельность ГРБС;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качестве задач не должно рассматриваться решение проблем финансирования сектора/отрасли.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задачи сектора/отрасли уже были сформированы ранее и были приняты уполномоченным государственным органом, то они остаются в прежней редакции, кроме тех случаев, когда формулировку цели необходимо пересмотреть в связи с пересмотром отраслевой политики или проводимыми реформами.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Сформулированные задачи представляются в виде перечня задач в разделе «Задачи» по форме согласно </w:t>
      </w:r>
      <w:hyperlink w:history="1" r:id="rIdps_aymyc8ufmiuxjeno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 Формулирование бюджетных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Взаимосвязанные основные направления деятельности ГРБС группируются в бюджетные программы в соответствии с объединяющими их задачами сектора/отрасли.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каждой бюджетной программы должна быть определена цель, которая формулируется четко и лаконично, является конкретной, достижимой, измеримой, ориентированной на внешнего потребителя услуг сектора/отрасли, направленной на достижение результата. Формулировка цели не должна содержать специальных терминов и аббревиатур, затрудняющих ее понимание.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каждой бюджетной программы определяется ожидаемый результат, который формулируется кратко, понятно, с указанием значения планового показателя в среднесрочном или долгосрочном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 формулировке бюджетных программ предъявляются следующие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приоритетам государственной политики в секторе/отрасли и четкая взаимосвязь с приоритетами стратегий/программ развития национального уровня и/или секторальных стратегических/программных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направленность бюджетной программы на решение одной из задач сектора/отрасли;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краткость названия бюджетных программ без применения специальных терминов и аббревиатур, затрудняющих их понимание;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обоснованность количества бюджетных программ (количество бюджетных программ не может быть меньше количества задач сектора и не должно быть чрезмерно большим);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устойчивость программной структуры во времени. Новые бюджетные программы/меры включаются по согласованию с уполномоченным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деятельность по проведению реформ и инвестиционные проекты, финансируемые в рамках бюджета ГРБС, не могут определяться в качестве бюджетных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финансирование либо увеличение объемов финансирования не является программой;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бюджетная программа должна быть общественно значимой – показывать выгоды от деятельности ГРБС и не должна быть направлена на решение проблем ГРБС.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бюджетные программы сектора/отрасли уже были сформулированы ранее и были приняты уполномоченным государственным органом, то они остаются в прежней редакции, изменяясь только по следующим причинам: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структурные преобразования в Кабинете Министров и внутри ГРБС;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кардинальный пересмотр функций ГРБС как следствие процесса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программной структуры (объединение мелких программ или дезагрегация крупных);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 отраслевой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перечне бюджетных программ отражается стандартная программа «Управление и администрирование», охватывающая функции подразделений, расходы которых сложно распределить по основным бюджетным программам. Реализация данной программы оказывает координирующее и организационное воздействие на реализацию других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 бюджетной программе «Управление и администрирование» относятся: высшее руководство; финансовая служба; подразделения, ответственные за осуществление мониторинга и контроля; управление человеческими ресурсами; подразделения международного сотрудничества; юридическая служба; внутренний аудит; службы по связям с общественностью, пресс-секретари и т.п. Не допускается отнесение к данной программе всех расходов, осуществляемых центральным аппаратом ГРБС. Территориальные подразделения ГРБС, выполняющие несколько функций, относящихся к разным бюджетным программам/мерам, указываются в виде одной бюджетной меры в бюджетной программе «Управление и администрирование».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Бюджетная программа «Управление и администрирование» указывается первой в списке.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Сформулированные бюджетные программы вносятся в раздел «Бюджетные программы» по форме, приведенной в </w:t>
      </w:r>
      <w:hyperlink w:history="1" r:id="rIdtbpc_gzwtiyavxezpaf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Инструкции, а также в таблице «Анализ финансирования бюджетных программ» по форме, приведенной в </w:t>
      </w:r>
      <w:hyperlink w:history="1" r:id="rIddn-wqohy0y7erorurf1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 При заполнении таблицы необходимо указывать коды бюджетных программ, соответствующие кодам программной бюджетной классификации. В случае отсутствия кода программной бюджетной классификации, бюджетная программа указывается как «новая программа» для последующего присвоения ей кода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значительного изменения программной структуры формируемого проекта ССБР в сравнении с программной структурой, представленной в предыдущем цикле формирования бюджета, представляется обоснование вносимых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5. Распределение средств по бюджетным программам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Прогнозные показатели бюджета ГРБС должны быть распределены в ССБР по бюджетным программам. Расчет расходов по бюджетным программам должен быть основан на определении стоимости бюджетных мер. Для этого администраторы бюджетных программ используют показатели стоимости бюджетных мер, рассчитанных в ходе прошлогоднего цикла формирования бюджетных заявок в программном формате, с корректировками (при необходимости) в пределах 10 процентов их стоимости. Распределение средств по новым бюджетным мерам определяется исходя из предварительных расчетов на основе методики, утвержденной для формирования бюджетов на программной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Результаты расчетов вносятся в таблицу «Анализ финансирования бюджетных программ» по форме, приведенной в </w:t>
      </w:r>
      <w:hyperlink w:history="1" r:id="rId7gzmp8ejo1ef5jo4go8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Внебюджетные источники финансирования программ указываются в ССБР по каждой программе в таблице «Анализ финансирования бюджетных программ» отдельно от средств, выделяемых из республиканского бюджета. Итоговая сумма по всем внебюджетным источникам указывается отдельной строкой «Итого за счет внебюджетных источников».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6. Определение индикаторов результативности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каждой бюджетной программы определяются измеримые ожидаемые результаты. Для их описания применяются индикаторы результативности. Отбор индикаторов результативности осуществляется с учетом требований методики, утвержденной в Инструкции по формированию, рассмотрению и исполнению бюджетов на программной основе. Наименования индикаторов результативности бюджетных программ/мер должны оставаться стабильными во времени, т.е. если индикаторы результативности уже были сформулированы ранее в программном бюджете ГРБС и были приняты уполномоченным государственным органом, то они остаются в прежней редакции, изменяясь только по следующим причинам: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 бюджетных программ/мер;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рекомендация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индикаторов результативности осуществляются по согласованию с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Ожидаемые результаты бюджетных программ отражаются в текстовой части ССБР и в таблице «Анализ финансирования бюджетных программ» по форме согласно </w:t>
      </w:r>
      <w:hyperlink w:history="1" r:id="rIdihghm29pygpybeaus1p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рассмотрения ССБР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Проекты ССБР и индикаторы результативности бюджетных программ подлежат общественному обсуждению, включая представителей общественного совета ГРБС (при наличии), в срок не позднее 25 апреля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итогам проведения общественных слушаний ГРБС формируют протокол общественного обсуждения, матрицу учета замечаний и предложений по итогам общественного обсуждения проекта ССБР. Протокол общественного обсуждения представляется в уполномоченный государственный орган вместе с проектом ССБР.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Проект ССБР рассматривается и одобряется руководителем ГРБС для представления в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государственный орган рассматривает проекты ССБР на предмет соответствия требованиям настоящей Инструкции и методики, утвержденной для формирования бюджетов на программой основе (в части распределения средств по бюджетным программам), и в случае несоответствия изложенным требованиям, возвращает представленный проект ССБР на доработку ГРБС.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ГРБС дорабатывает проект ССБР с учетом замечаний и предложений уполномоченного государственного органа. Доработанный проект ССБР представляется в уполномоченный государственный орган в течение трех рабочих дней со дня его направления на доработку.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Свод представленных среднесрочных стратегий для включения в проект Основных направлений фискальной политики обеспечивается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Распределение бюджетных ассигнований на реализацию бюджетных программ на очередной бюджетный год и прогнозируемый период определяется соответствующим законом о республиканском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Исполнение среднесрочных стратегий ГРБС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ССБР исполняются ГРБС посредством исполнения программного бюджета, рассмотренного и исполненного в соответствии с Инструкцией о порядке формирования, рассмотрения и исполнения бюджетов на программной основе, утверждаемой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Инструкции по формированию,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рассмотрению и исполнению среднесрочных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стратегий бюджетных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Среднесрочная стратегия бюджетных расходов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20__ – 20___ гг.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сектору/отрасли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(стандартное описание необходимости составления ССБР): «Настоящий документ является официальной среднесрочной (охватывающей трехлетний период с 20__ г. по 20__ г.) стратегией бюджетных расходов, которая включена в Основные направления фискальной политики Кыргызской Республики на 20__ – 20__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Стратегия представляет бюджетные программы в рамках реализации политики сектора/отрасли, и их финансирование в пределах запланированных для этого средств республиканского бюджета, а также подтвержденные внебюджетные источники финансирования.».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Описание сектора/отрасли: краткое описание специфики сектора/отрасли (3–4 абзаца), краткая отраслевая статистика, проблематика и развитие).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Краткое описание роли ГРБС в управлении сектором/отраслью и его развитии (1 абзац). Перечисление других ГРБС (если таковые имеются), участвующих в управлении и развитии сектора/отрасли, с описанием распределения их обязанностей и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Стратегическая цель сектора/отрасли (долгосрочная, общественно-значимая, понятная, измеримая) (максимум 1 абзац – цель и очень краткое пояснение, если необходимо).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сектора (среднесрочные, общественно значимые, согласующиеся с национальными и отраслевыми программами развития) (Перечисление задач в несколько пунктов. Задач не должно быть много – максимум 4–5 (необходимо помнить о том, что количество задач не может превышать количество бюджетных программ), можно привести пояснения (1–2 абзаца). Не допускается постановка задач, направленных на обеспечение деятельности ГРБС, увеличение бюджетных ассигнований.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Бюджетные программы (наименование; указание кода бюджетной программы в бюджетной классификации; указание номера задачи сектора, которую решает программа; очень краткое описание (1–2 абзаца) – информация о текущей ситуации по данному направлению и актуальность программы), (количество программ не должно быть меньше количества задач сектора/отрасли. Несколько программ могут решать одну задачу, но одна программа не может относиться к нескольким задачам).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Первой в списке бюджетных программ должна быть стандартная бюджетная программа «Управление и администрирование». В этой программе должны группироваться административные расходы структурных, территориальных и подведомственных подразделений, которые сложно распределить по основным бюджетным программам.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описания каждой бюджетной программы приводится предполагаемый перечень бюджетных мер (перечень без описания). За реализацию одной бюджетной меры отвечает одна организация или подразделение.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Сценарии: в случае если новая бюджетная мера планируется за счет изменения политики, появляется впервые в программной структуре бюджета ГРБС и требует дополнительного финансирования сверх установленных для ГРБС прогнозных показателей, информация по такой бюджетной мере представляется в описании соответствующей бюджетной программы в следующем формате: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04"/>
        <w:gridCol w:w="2704"/>
        <w:gridCol w:w="2385"/>
        <w:gridCol w:w="2385"/>
      </w:tblGrid>
      <w:tr>
        <w:tc>
          <w:tcPr>
            <w:tcW w:type="dxa" w:w="540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код бюджетной программы</w:t>
            </w:r>
          </w:p>
        </w:tc>
        <w:tc>
          <w:tcPr>
            <w:tcW w:type="dxa" w:w="47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новой бюджетной меры</w:t>
            </w:r>
          </w:p>
        </w:tc>
        <w:tc>
          <w:tcPr>
            <w:tcW w:type="dxa" w:w="47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обоснование новой инициативы (необходимость и общественная полезность, ссылка на стратегию национального уровня/инициативу Президента, Кабинета Министров, отраслевую стратегию развития)</w:t>
            </w:r>
          </w:p>
        </w:tc>
        <w:tc>
          <w:tcPr>
            <w:tcW w:type="dxa" w:w="47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финансирования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Х+1
 (план)</w:t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Х+2
 (прогноз)</w:t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Х+3
 (прогноз)</w:t>
            </w:r>
          </w:p>
        </w:tc>
      </w:tr>
      <w:tr>
        <w:tc>
          <w:tcPr>
            <w:tcW w:type="dxa" w:w="2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Бюджетные средства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Специальные средства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Государственные инвестиции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 результативности: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(единица измерения)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(единица измерения)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комментарии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(если необходимо)</w:t>
            </w:r>
          </w:p>
        </w:tc>
        <w:tc>
          <w:tcPr>
            <w:tcW w:type="dxa" w:w="47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перечисляются ожидаемые результаты реализации бюджетной программы в среднесрочном периоде. Ожидаемый результат должен быть измеримым и реалистичным и иметь социальную значимость. Индикаторы результативности бюджетных мер на данном этапе не определяются.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Финансовый план (стоимость бюджетных программ, включая бюджетные ассигнования, специальные средства, государственные инвестиции, внебюджетные источники). Описываются общий объем расходов по бюджетным программам сектора и существенные изменения в его динамике за прошлые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случаях когда ГРБС, вовлеченный в реализацию бюджетной программы является не единственным исполнителем, необходимо указать информацию о соисполнителях, их роли в достижении ожидаемых результатов бюджетной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Инструкции по формированию,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рассмотрению и исполнению среднесрочных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стратегий бюджетных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Анализ финансирования бюджетных программ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сектору/отрасли ____________________ на 20__ – 20__гг.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ГРБС (полное наименование)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378"/>
        <w:gridCol w:w="5556"/>
        <w:gridCol w:w="496"/>
        <w:gridCol w:w="496"/>
        <w:gridCol w:w="496"/>
        <w:gridCol w:w="496"/>
        <w:gridCol w:w="496"/>
        <w:gridCol w:w="1401"/>
      </w:tblGrid>
      <w:tr>
        <w:tc>
          <w:tcPr>
            <w:tcW w:type="dxa" w:w="3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</w:t>
            </w:r>
          </w:p>
        </w:tc>
        <w:tc>
          <w:tcPr>
            <w:tcW w:type="dxa" w:w="3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ИН</w:t>
            </w:r>
          </w:p>
        </w:tc>
        <w:tc>
          <w:tcPr>
            <w:tcW w:type="dxa" w:w="55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программы/
 Бюджетные меры</w:t>
            </w:r>
          </w:p>
        </w:tc>
        <w:tc>
          <w:tcPr>
            <w:tcW w:type="dxa" w:w="248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программам/мерам)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сомов)</w:t>
            </w:r>
          </w:p>
        </w:tc>
        <w:tc>
          <w:tcPr>
            <w:tcW w:type="dxa" w:w="14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результаты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X-1 (факт)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утв.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X+1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прог-ноз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X+2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прог-ноз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X+3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ноз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и администрирова-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программы: координирующее и организационное воздействие на реализацию других программ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аккумулируемые на специальных счетах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инвестиции (внешнее финансирование)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источники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программе «Управление и администрирование», из них: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республиканского бюджета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внебюджетных источников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2. Наименование программы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программы: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аккумулируемые на специальных счетах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инвестиции (внешнее финансирование)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источники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программе 2, из них: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республиканского бюджета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внебюджетных источников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всем программам, из них: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из республиканского бюджета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за счет внебюджетных источников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Инструкции по формированию,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рассмотрению и исполнению среднесрочных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стратегий бюджетных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документов, прилагаемых к проекту ССБР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Текст проекта ССБР.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Приложение 1. Анализ финансирования бюджетных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Протокол общественного обсуждения проекта ССБР.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_rsbq1e-9dyq7fnjg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dalil.kg/document/158856</w:t>
      </w:r>
    </w:hyperlink>
  </w:p>
  <w:p>
    <w:pPr>
      <w:spacing w:after="0" w:before="40"/>
      <w:jc w:val="center"/>
    </w:pPr>
    <w:hyperlink w:history="1" r:id="rIdlhijbnt4rp0ytd1pt7b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_yrzkh84ocmgzn9ugbd4" Type="http://schemas.openxmlformats.org/officeDocument/2006/relationships/hyperlink" Target="https://dalil.kg/document/230039017" TargetMode="External"/><Relationship Id="rIdt1qdv7crpsn6sqtt8sx--" Type="http://schemas.openxmlformats.org/officeDocument/2006/relationships/hyperlink" Target="https://dalil.kg/document/158854" TargetMode="External"/><Relationship Id="rIdi2rjfgxriqh2pelji2wyj" Type="http://schemas.openxmlformats.org/officeDocument/2006/relationships/hyperlink" Target="https://dalil.kg/document/111338#st_84" TargetMode="External"/><Relationship Id="rIdti5lp0kvfdyg3idbnprma" Type="http://schemas.openxmlformats.org/officeDocument/2006/relationships/hyperlink" Target="https://dalil.kg/document/158856#pr3" TargetMode="External"/><Relationship Id="rId6awla4avts10kyzzzlotx" Type="http://schemas.openxmlformats.org/officeDocument/2006/relationships/hyperlink" Target="https://dalil.kg/document/158856#pr1" TargetMode="External"/><Relationship Id="rIdxxsslidn1bsnz-tlupxyv" Type="http://schemas.openxmlformats.org/officeDocument/2006/relationships/hyperlink" Target="https://dalil.kg/document/158856#pr1" TargetMode="External"/><Relationship Id="rIdps_aymyc8ufmiuxjenors" Type="http://schemas.openxmlformats.org/officeDocument/2006/relationships/hyperlink" Target="https://dalil.kg/document/158856#pr1" TargetMode="External"/><Relationship Id="rIdtbpc_gzwtiyavxezpaffh" Type="http://schemas.openxmlformats.org/officeDocument/2006/relationships/hyperlink" Target="https://dalil.kg/document/158856#pr1" TargetMode="External"/><Relationship Id="rIddn-wqohy0y7erorurf1l4" Type="http://schemas.openxmlformats.org/officeDocument/2006/relationships/hyperlink" Target="https://dalil.kg/document/158856#pr2" TargetMode="External"/><Relationship Id="rId7gzmp8ejo1ef5jo4go8og" Type="http://schemas.openxmlformats.org/officeDocument/2006/relationships/hyperlink" Target="https://dalil.kg/document/158856#pr2" TargetMode="External"/><Relationship Id="rIdihghm29pygpybeaus1ps1" Type="http://schemas.openxmlformats.org/officeDocument/2006/relationships/hyperlink" Target="https://dalil.kg/document/158856#pr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_rsbq1e-9dyq7fnjgqd" Type="http://schemas.openxmlformats.org/officeDocument/2006/relationships/hyperlink" Target="https://dalil.kg/document/158856" TargetMode="External"/><Relationship Id="rIdlhijbnt4rp0ytd1pt7b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2026-09-24T12:45:37.032Z</dcterms:created>
  <dcterms:modified xsi:type="dcterms:W3CDTF">2026-09-24T12:45:37.032Z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