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payvg0embgn19yr-9bn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24 февраля 2022 года № 95</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28"/>
          <w:szCs w:val="28"/>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17 декабря 2021 года № 314</w:t>
      </w:r>
    </w:p>
    <w:p>
      <w:pPr>
        <w:spacing w:after="400" w:before="400"/>
        <w:jc w:val="center"/>
      </w:pPr>
      <w:r>
        <w:rPr>
          <w:rFonts w:ascii="Arial" w:cs="Arial" w:eastAsia="Arial" w:hAnsi="Arial"/>
          <w:b/>
          <w:bCs/>
          <w:sz w:val="28"/>
          <w:szCs w:val="28"/>
        </w:rPr>
        <w:t xml:space="preserve">О внесении изменений в некоторые решения Правительства Кыргызской Республики в сфере налогового администрирования</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o4fmxji9j45t_hiwncytr">
        <w:r>
          <w:rPr>
            <w:rFonts w:ascii="Arial" w:cs="Arial" w:eastAsia="Arial" w:hAnsi="Arial"/>
            <w:i/>
            <w:iCs/>
            <w:color w:val="1D4ED8"/>
            <w:sz w:val="24"/>
            <w:szCs w:val="24"/>
            <w:u w:val="single"/>
          </w:rPr>
          <w:t xml:space="preserve">22 февраля 2022 года № 93)</w:t>
        </w:r>
      </w:hyperlink>
    </w:p>
    <w:p>
      <w:pPr>
        <w:spacing w:after="60"/>
        <w:ind w:firstLine="567"/>
        <w:jc w:val="both"/>
      </w:pPr>
      <w:r>
        <w:rPr>
          <w:rFonts w:ascii="Arial" w:cs="Arial" w:eastAsia="Arial" w:hAnsi="Arial"/>
          <w:sz w:val="24"/>
          <w:szCs w:val="24"/>
        </w:rPr>
        <w:t xml:space="preserve">В целях усиления контроля за проведением налоговыми органами налогового контроля в рамках внедрения электронной системы фискализации налоговых процедур, в соответствии со статьями 108, 103, 111-114 Налогового кодекса Кыргызской Республики, статьями </w:t>
      </w:r>
      <w:hyperlink w:history="1" r:id="rIdakouvxnbcn4i2fdqnvfxn">
        <w:r>
          <w:rPr>
            <w:rFonts w:ascii="Arial" w:cs="Arial" w:eastAsia="Arial" w:hAnsi="Arial"/>
            <w:color w:val="1D4ED8"/>
            <w:sz w:val="24"/>
            <w:szCs w:val="24"/>
            <w:u w:val="single"/>
          </w:rPr>
          <w:t xml:space="preserve">13</w:t>
        </w:r>
      </w:hyperlink>
      <w:r>
        <w:rPr>
          <w:rFonts w:ascii="Arial" w:cs="Arial" w:eastAsia="Arial" w:hAnsi="Arial"/>
          <w:sz w:val="24"/>
          <w:szCs w:val="24"/>
        </w:rPr>
        <w:t xml:space="preserve"> и </w:t>
      </w:r>
      <w:hyperlink w:history="1" r:id="rIdxfslb4ucikxbhhmqcnbep">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22 февраля 2022 года № 93)</w:t>
      </w:r>
    </w:p>
    <w:p>
      <w:pPr>
        <w:spacing w:after="60"/>
        <w:ind w:firstLine="567"/>
        <w:jc w:val="both"/>
      </w:pPr>
      <w:r>
        <w:rPr>
          <w:rFonts w:ascii="Arial" w:cs="Arial" w:eastAsia="Arial" w:hAnsi="Arial"/>
          <w:sz w:val="24"/>
          <w:szCs w:val="24"/>
        </w:rPr>
        <w:t xml:space="preserve">2. Внести в </w:t>
      </w:r>
      <w:hyperlink w:history="1" r:id="rId66-qbwb6g1kjctf7jv1r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и Порядка по администрированию налогов" от 7 апреля 2011 года № 144 следующие изменения:</w:t>
      </w:r>
    </w:p>
    <w:p>
      <w:pPr>
        <w:spacing w:after="60"/>
        <w:ind w:firstLine="567"/>
        <w:jc w:val="both"/>
      </w:pPr>
      <w:r>
        <w:rPr>
          <w:rFonts w:ascii="Arial" w:cs="Arial" w:eastAsia="Arial" w:hAnsi="Arial"/>
          <w:sz w:val="24"/>
          <w:szCs w:val="24"/>
        </w:rPr>
        <w:t xml:space="preserve">1) в </w:t>
      </w:r>
      <w:hyperlink w:history="1" r:id="rIdrdm2mnbivtskkwjewmgh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контрольного закупа, утвержденном вышеуказанным </w:t>
      </w:r>
      <w:hyperlink w:history="1" r:id="rId1r1-awxlqipav4su8cl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3 изложить в следующей редакции:</w:t>
      </w:r>
    </w:p>
    <w:p>
      <w:pPr>
        <w:spacing w:after="60"/>
        <w:ind w:firstLine="567"/>
        <w:jc w:val="both"/>
      </w:pPr>
      <w:r>
        <w:rPr>
          <w:rFonts w:ascii="Arial" w:cs="Arial" w:eastAsia="Arial" w:hAnsi="Arial"/>
          <w:sz w:val="24"/>
          <w:szCs w:val="24"/>
        </w:rPr>
        <w:t xml:space="preserve">"3. В целях проведения контрольного закупа посредством информационной системы уполномоченного налогового органа оформляется предписание на право проведения контрольного закупа в бумажной или электронной форме (приложение 1).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(подтверждается)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sz w:val="24"/>
          <w:szCs w:val="24"/>
        </w:rPr>
        <w:t xml:space="preserve">- пункт 4 после слов "акт контрольного закупа (приложение 2)" дополнить словами "в бумажной или электронной форме";</w:t>
      </w:r>
    </w:p>
    <w:p>
      <w:pPr>
        <w:spacing w:after="60"/>
        <w:ind w:firstLine="567"/>
        <w:jc w:val="both"/>
      </w:pPr>
      <w:r>
        <w:rPr>
          <w:rFonts w:ascii="Arial" w:cs="Arial" w:eastAsia="Arial" w:hAnsi="Arial"/>
          <w:sz w:val="24"/>
          <w:szCs w:val="24"/>
        </w:rPr>
        <w:t xml:space="preserve">- пункт 9-2 после слов "к Акту" дополнить словами "в бумажной форме, а при оформлении Акта в электронной форме проводится фотосъемка";</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после слов "2-х экземплярах" дополнить словами "в бумажной форме";</w:t>
      </w:r>
    </w:p>
    <w:p>
      <w:pPr>
        <w:spacing w:after="6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"При составлении Акта контрольного закупа в электронной форме данный Акт подписывается должностным лицом налогового органа и лицом, производившим реализацию товаров (услуг),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контрольного закупа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 Конструкция фискальной памяти должна предусматривать защиту от механических, электромагнитных и других видов воздействий как при работе ККМ, так и при техническом обслуживании и ремонте с применением штатных приборов, оборудования и расходных материалов.";</w:t>
      </w:r>
    </w:p>
    <w:p>
      <w:pPr>
        <w:spacing w:after="60"/>
        <w:ind w:firstLine="567"/>
        <w:jc w:val="both"/>
      </w:pPr>
      <w:r>
        <w:rPr>
          <w:rFonts w:ascii="Arial" w:cs="Arial" w:eastAsia="Arial" w:hAnsi="Arial"/>
          <w:sz w:val="24"/>
          <w:szCs w:val="24"/>
        </w:rPr>
        <w:t xml:space="preserve">2) в </w:t>
      </w:r>
      <w:hyperlink w:history="1" r:id="rIdrbivpivgigqoko04qcmr5">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проведения и оформления материалов рейдового налогового контроля, утвержденном вышеуказанным </w:t>
      </w:r>
      <w:hyperlink w:history="1" r:id="rIdnsp8r6qccrll-fmjfsfa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1 слова "Государственной налоговой службе при Правительстве" заменить словами "налоговой службе, утверждаемым Кабинетом Министров";</w:t>
      </w:r>
    </w:p>
    <w:p>
      <w:pPr>
        <w:spacing w:after="60"/>
        <w:ind w:firstLine="567"/>
        <w:jc w:val="both"/>
      </w:pPr>
      <w:r>
        <w:rPr>
          <w:rFonts w:ascii="Arial" w:cs="Arial" w:eastAsia="Arial" w:hAnsi="Arial"/>
          <w:sz w:val="24"/>
          <w:szCs w:val="24"/>
        </w:rPr>
        <w:t xml:space="preserve">- в абзаце пятнадцатом пункта 2 слово "Правительством" заменить словами "Кабинетом Министров";</w:t>
      </w:r>
    </w:p>
    <w:p>
      <w:pPr>
        <w:spacing w:after="60"/>
        <w:ind w:firstLine="567"/>
        <w:jc w:val="both"/>
      </w:pPr>
      <w:r>
        <w:rPr>
          <w:rFonts w:ascii="Arial" w:cs="Arial" w:eastAsia="Arial" w:hAnsi="Arial"/>
          <w:sz w:val="24"/>
          <w:szCs w:val="24"/>
        </w:rPr>
        <w:t xml:space="preserve">- пункт 4 изложить в следующей редакции:</w:t>
      </w:r>
    </w:p>
    <w:p>
      <w:pPr>
        <w:spacing w:after="60"/>
        <w:ind w:firstLine="567"/>
        <w:jc w:val="both"/>
      </w:pPr>
      <w:r>
        <w:rPr>
          <w:rFonts w:ascii="Arial" w:cs="Arial" w:eastAsia="Arial" w:hAnsi="Arial"/>
          <w:sz w:val="24"/>
          <w:szCs w:val="24"/>
        </w:rPr>
        <w:t xml:space="preserve">"4. Предписание на проведение рейдового налогового контроля оформляется посредством информационной системы уполномоченного налогового органа в бумажной или электронной форме. Предписание, оформленное в бумажной форме, должно быть подписано руководителем или заместителем руководителя налогового органа и заверено гербовой печатью. Предписание, оформленное в электронной форме, подписывается электронной подписью руководителя или заместителя руководителя налогового органа в информационной системе уполномоченного налогового органа и заверяется гербовой печатью (при распечатывании в бумажной форме).";</w:t>
      </w:r>
    </w:p>
    <w:p>
      <w:pPr>
        <w:spacing w:after="60"/>
        <w:ind w:firstLine="567"/>
        <w:jc w:val="both"/>
      </w:pPr>
      <w:r>
        <w:rPr>
          <w:rFonts w:ascii="Arial" w:cs="Arial" w:eastAsia="Arial" w:hAnsi="Arial"/>
          <w:sz w:val="24"/>
          <w:szCs w:val="24"/>
        </w:rPr>
        <w:t xml:space="preserve">- в пункте 5:</w:t>
      </w:r>
    </w:p>
    <w:p>
      <w:pPr>
        <w:spacing w:after="60"/>
        <w:ind w:firstLine="567"/>
        <w:jc w:val="both"/>
      </w:pPr>
      <w:r>
        <w:rPr>
          <w:rFonts w:ascii="Arial" w:cs="Arial" w:eastAsia="Arial" w:hAnsi="Arial"/>
          <w:sz w:val="24"/>
          <w:szCs w:val="24"/>
        </w:rPr>
        <w:t xml:space="preserve">абзац второй изложить в следующей редакции:</w:t>
      </w:r>
    </w:p>
    <w:p>
      <w:pPr>
        <w:spacing w:after="60"/>
        <w:ind w:firstLine="567"/>
        <w:jc w:val="both"/>
      </w:pPr>
      <w:r>
        <w:rPr>
          <w:rFonts w:ascii="Arial" w:cs="Arial" w:eastAsia="Arial" w:hAnsi="Arial"/>
          <w:sz w:val="24"/>
          <w:szCs w:val="24"/>
        </w:rPr>
        <w:t xml:space="preserve">"При проведении рейдового налогового контроля должностным лицом налогового органа налогоплательщику предъявляется:";</w:t>
      </w:r>
    </w:p>
    <w:p>
      <w:pPr>
        <w:spacing w:after="60"/>
        <w:ind w:firstLine="567"/>
        <w:jc w:val="both"/>
      </w:pPr>
      <w:r>
        <w:rPr>
          <w:rFonts w:ascii="Arial" w:cs="Arial" w:eastAsia="Arial" w:hAnsi="Arial"/>
          <w:sz w:val="24"/>
          <w:szCs w:val="24"/>
        </w:rPr>
        <w:t xml:space="preserve">дополнить абзацами третьим-пятым следующего содержания:</w:t>
      </w:r>
    </w:p>
    <w:p>
      <w:pPr>
        <w:spacing w:after="60"/>
        <w:ind w:firstLine="567"/>
        <w:jc w:val="both"/>
      </w:pPr>
      <w:r>
        <w:rPr>
          <w:rFonts w:ascii="Arial" w:cs="Arial" w:eastAsia="Arial" w:hAnsi="Arial"/>
          <w:sz w:val="24"/>
          <w:szCs w:val="24"/>
        </w:rPr>
        <w:t xml:space="preserve">"- подлинник предписания в бумажной форме для ознакомления и/или вручается его копия. На обратной стороне подлинника предписания налогоплательщиком ставится отметка об ознакомлении с предписанием;</w:t>
      </w:r>
    </w:p>
    <w:p>
      <w:pPr>
        <w:spacing w:after="60"/>
        <w:ind w:firstLine="567"/>
        <w:jc w:val="both"/>
      </w:pPr>
      <w:r>
        <w:rPr>
          <w:rFonts w:ascii="Arial" w:cs="Arial" w:eastAsia="Arial" w:hAnsi="Arial"/>
          <w:sz w:val="24"/>
          <w:szCs w:val="24"/>
        </w:rPr>
        <w:t xml:space="preserve">- должностное лицо налогового органа по согласованию с налогоплательщиком направляет на его электронный адрес или посредством мессенджеров предписание в электронной форме для ознакомления. По желанию налогоплательщика сканируются его биометрические данные для ознакомления с предписанием.</w:t>
      </w:r>
    </w:p>
    <w:p>
      <w:pPr>
        <w:spacing w:after="60"/>
        <w:ind w:firstLine="567"/>
        <w:jc w:val="both"/>
      </w:pPr>
      <w:r>
        <w:rPr>
          <w:rFonts w:ascii="Arial" w:cs="Arial" w:eastAsia="Arial" w:hAnsi="Arial"/>
          <w:sz w:val="24"/>
          <w:szCs w:val="24"/>
        </w:rPr>
        <w:t xml:space="preserve">Налогоплательщик вправе проверить подлинность предписания на сайте уполномоченного органа в разделе предписания, указав номер предписания.";</w:t>
      </w:r>
    </w:p>
    <w:p>
      <w:pPr>
        <w:spacing w:after="60"/>
        <w:ind w:firstLine="567"/>
        <w:jc w:val="both"/>
      </w:pPr>
      <w:r>
        <w:rPr>
          <w:rFonts w:ascii="Arial" w:cs="Arial" w:eastAsia="Arial" w:hAnsi="Arial"/>
          <w:sz w:val="24"/>
          <w:szCs w:val="24"/>
        </w:rPr>
        <w:t xml:space="preserve">- предложение первое пункта 6 исключить;</w:t>
      </w:r>
    </w:p>
    <w:p>
      <w:pPr>
        <w:spacing w:after="60"/>
        <w:ind w:firstLine="567"/>
        <w:jc w:val="both"/>
      </w:pPr>
      <w:r>
        <w:rPr>
          <w:rFonts w:ascii="Arial" w:cs="Arial" w:eastAsia="Arial" w:hAnsi="Arial"/>
          <w:sz w:val="24"/>
          <w:szCs w:val="24"/>
        </w:rPr>
        <w:t xml:space="preserve">- в абзаце втором пункта 20 слова "Государственной налоговой службе при Правительстве Кыргызской Республики, утвержденного постановлением Правительства Кыргызской Республики от 16 февраля 2012 года № 100" заменить словами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 в абзаце втором пункта 21 слова "Государственной налоговой службе при Правительстве Кыргызской Республики, утвержденному постановлением Правительства Кыргызской Республики от 16 февраля 2012 года № 100" заменить словами "налоговой службе, утвержденному Кабинетом Министров Кыргызской Республики";</w:t>
      </w:r>
    </w:p>
    <w:p>
      <w:pPr>
        <w:spacing w:after="60"/>
        <w:ind w:firstLine="567"/>
        <w:jc w:val="both"/>
      </w:pPr>
      <w:r>
        <w:rPr>
          <w:rFonts w:ascii="Arial" w:cs="Arial" w:eastAsia="Arial" w:hAnsi="Arial"/>
          <w:sz w:val="24"/>
          <w:szCs w:val="24"/>
        </w:rPr>
        <w:t xml:space="preserve">- пункт 25 после слова "к нему" дополнить словами "оформляются в бумажной или электронной форме,";</w:t>
      </w:r>
    </w:p>
    <w:p>
      <w:pPr>
        <w:spacing w:after="60"/>
        <w:ind w:firstLine="567"/>
        <w:jc w:val="both"/>
      </w:pPr>
      <w:r>
        <w:rPr>
          <w:rFonts w:ascii="Arial" w:cs="Arial" w:eastAsia="Arial" w:hAnsi="Arial"/>
          <w:sz w:val="24"/>
          <w:szCs w:val="24"/>
        </w:rPr>
        <w:t xml:space="preserve">- в пункте 27:</w:t>
      </w:r>
    </w:p>
    <w:p>
      <w:pPr>
        <w:spacing w:after="60"/>
        <w:ind w:firstLine="567"/>
        <w:jc w:val="both"/>
      </w:pPr>
      <w:r>
        <w:rPr>
          <w:rFonts w:ascii="Arial" w:cs="Arial" w:eastAsia="Arial" w:hAnsi="Arial"/>
          <w:sz w:val="24"/>
          <w:szCs w:val="24"/>
        </w:rPr>
        <w:t xml:space="preserve">в предложении первом слова "Второй экземпляр" заменить словами "При оформлении в бумажной форме второй экземпляр";</w:t>
      </w:r>
    </w:p>
    <w:p>
      <w:pPr>
        <w:spacing w:after="60"/>
        <w:ind w:firstLine="567"/>
        <w:jc w:val="both"/>
      </w:pPr>
      <w:r>
        <w:rPr>
          <w:rFonts w:ascii="Arial" w:cs="Arial" w:eastAsia="Arial" w:hAnsi="Arial"/>
          <w:sz w:val="24"/>
          <w:szCs w:val="24"/>
        </w:rPr>
        <w:t xml:space="preserve">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оформлении в электронной форме электронный акт рейдового налогового контроля со всеми приложениями направляется руководителю хозяйствующего субъекта или его ответственному лицу на электронный адрес или посредством мессенджеров. Если ответственное лицо или руководитель отказывается от подписи и получения акта рейдового налогового контроля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рейдового налогового контроля вносится запись - "от подписи отказался", проводится фото- и видеосъемка, и материалы отправляются в базу данных уполномоченного налогового органа. При этом ответственному лицу или руководителю хозяйствующего субъекта озвучивается номер акта рейдового налогового контроля для дальнейшего ознакомления на сайте уполномоченного налогового органа.";</w:t>
      </w:r>
    </w:p>
    <w:p>
      <w:pPr>
        <w:spacing w:after="60"/>
        <w:ind w:firstLine="567"/>
        <w:jc w:val="both"/>
      </w:pPr>
      <w:r>
        <w:rPr>
          <w:rFonts w:ascii="Arial" w:cs="Arial" w:eastAsia="Arial" w:hAnsi="Arial"/>
          <w:sz w:val="24"/>
          <w:szCs w:val="24"/>
        </w:rPr>
        <w:t xml:space="preserve">- абзац первый пункта 28 после слов "составляется протокол воспрепятствования" дополнить словами "в бумажной или электронной форме";</w:t>
      </w:r>
    </w:p>
    <w:p>
      <w:pPr>
        <w:spacing w:after="60"/>
        <w:ind w:firstLine="567"/>
        <w:jc w:val="both"/>
      </w:pPr>
      <w:r>
        <w:rPr>
          <w:rFonts w:ascii="Arial" w:cs="Arial" w:eastAsia="Arial" w:hAnsi="Arial"/>
          <w:sz w:val="24"/>
          <w:szCs w:val="24"/>
        </w:rPr>
        <w:t xml:space="preserve">- абзац первый пункта 29 после слов "Первый экземпляр" дополнить словами "бумажной формы";</w:t>
      </w:r>
    </w:p>
    <w:p>
      <w:pPr>
        <w:spacing w:after="60"/>
        <w:ind w:firstLine="567"/>
        <w:jc w:val="both"/>
      </w:pPr>
      <w:r>
        <w:rPr>
          <w:rFonts w:ascii="Arial" w:cs="Arial" w:eastAsia="Arial" w:hAnsi="Arial"/>
          <w:sz w:val="24"/>
          <w:szCs w:val="24"/>
        </w:rPr>
        <w:t xml:space="preserve">- в приложении 6 к вышеуказанному Положению слова "Государственной налоговой службе при Правительстве Кыргызской Республики, утвержденного постановлением Правительства Кыргызской Республики от 16 февраля 2012 года № 100" заменить словами "налоговой службе, утвержденного Кабинетом Министров Кыргызской Республики".</w:t>
      </w:r>
    </w:p>
    <w:p>
      <w:pPr>
        <w:spacing w:after="60"/>
        <w:ind w:firstLine="567"/>
        <w:jc w:val="both"/>
      </w:pPr>
      <w:r>
        <w:rPr>
          <w:rFonts w:ascii="Arial" w:cs="Arial" w:eastAsia="Arial" w:hAnsi="Arial"/>
          <w:sz w:val="24"/>
          <w:szCs w:val="24"/>
        </w:rPr>
        <w:t xml:space="preserve">3. Внести в </w:t>
      </w:r>
      <w:hyperlink w:history="1" r:id="rIdvsrvs_jrwiwfwwj5zoto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1szziwtl1eqh-e12hvirf">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установления налогового поста" от 18 ноября 2019 года № 609 следующие изменения:</w:t>
      </w:r>
    </w:p>
    <w:p>
      <w:pPr>
        <w:spacing w:after="60"/>
        <w:ind w:firstLine="567"/>
        <w:jc w:val="both"/>
      </w:pPr>
      <w:r>
        <w:rPr>
          <w:rFonts w:ascii="Arial" w:cs="Arial" w:eastAsia="Arial" w:hAnsi="Arial"/>
          <w:sz w:val="24"/>
          <w:szCs w:val="24"/>
        </w:rPr>
        <w:t xml:space="preserve">в </w:t>
      </w:r>
      <w:hyperlink w:history="1" r:id="rIdnxwu2zvqhqaplimm23x4q">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eytlzgujb_gh6hmjafwr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7:</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"7. Для установления налогового поста оформляется предписание по форме согласно приложению 1 к настоящему Порядку, подписанное руководством органа налоговой службы и заверенное:";</w:t>
      </w:r>
    </w:p>
    <w:p>
      <w:pPr>
        <w:spacing w:after="60"/>
        <w:ind w:firstLine="567"/>
        <w:jc w:val="both"/>
      </w:pPr>
      <w:r>
        <w:rPr>
          <w:rFonts w:ascii="Arial" w:cs="Arial" w:eastAsia="Arial" w:hAnsi="Arial"/>
          <w:sz w:val="24"/>
          <w:szCs w:val="24"/>
        </w:rPr>
        <w:t xml:space="preserve">дополнить абзацами вторым и третьим следующего содержания:</w:t>
      </w:r>
    </w:p>
    <w:p>
      <w:pPr>
        <w:spacing w:after="60"/>
        <w:ind w:firstLine="567"/>
        <w:jc w:val="both"/>
      </w:pPr>
      <w:r>
        <w:rPr>
          <w:rFonts w:ascii="Arial" w:cs="Arial" w:eastAsia="Arial" w:hAnsi="Arial"/>
          <w:sz w:val="24"/>
          <w:szCs w:val="24"/>
        </w:rPr>
        <w:t xml:space="preserve">"- гербовой печатью данного органа налоговой службы (при оформлении в бумажной форме);</w:t>
      </w:r>
    </w:p>
    <w:p>
      <w:pPr>
        <w:spacing w:after="60"/>
        <w:ind w:firstLine="567"/>
        <w:jc w:val="both"/>
      </w:pPr>
      <w:r>
        <w:rPr>
          <w:rFonts w:ascii="Arial" w:cs="Arial" w:eastAsia="Arial" w:hAnsi="Arial"/>
          <w:sz w:val="24"/>
          <w:szCs w:val="24"/>
        </w:rPr>
        <w:t xml:space="preserve">- электронной подписью (при оформлении в электронной форме).";</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подпункт 2 после слов "налогового поста" дополнить словами "в бумажной или электронной форме";</w:t>
      </w:r>
    </w:p>
    <w:p>
      <w:pPr>
        <w:spacing w:after="60"/>
        <w:ind w:firstLine="567"/>
        <w:jc w:val="both"/>
      </w:pPr>
      <w:r>
        <w:rPr>
          <w:rFonts w:ascii="Arial" w:cs="Arial" w:eastAsia="Arial" w:hAnsi="Arial"/>
          <w:sz w:val="24"/>
          <w:szCs w:val="24"/>
        </w:rPr>
        <w:t xml:space="preserve">абзац второй после слов "стороне предписания" дополнить словами "в бумажной форме";</w:t>
      </w:r>
    </w:p>
    <w:p>
      <w:pPr>
        <w:spacing w:after="60"/>
        <w:ind w:firstLine="567"/>
        <w:jc w:val="both"/>
      </w:pPr>
      <w:r>
        <w:rPr>
          <w:rFonts w:ascii="Arial" w:cs="Arial" w:eastAsia="Arial" w:hAnsi="Arial"/>
          <w:sz w:val="24"/>
          <w:szCs w:val="24"/>
        </w:rPr>
        <w:t xml:space="preserve">- в пункте 26:</w:t>
      </w:r>
    </w:p>
    <w:p>
      <w:pPr>
        <w:spacing w:after="60"/>
        <w:ind w:firstLine="567"/>
        <w:jc w:val="both"/>
      </w:pPr>
      <w:r>
        <w:rPr>
          <w:rFonts w:ascii="Arial" w:cs="Arial" w:eastAsia="Arial" w:hAnsi="Arial"/>
          <w:sz w:val="24"/>
          <w:szCs w:val="24"/>
        </w:rPr>
        <w:t xml:space="preserve">абзац первый после слов "налогового поста" дополнить словами "в бумажной или электронной форме";</w:t>
      </w:r>
    </w:p>
    <w:p>
      <w:pPr>
        <w:spacing w:after="60"/>
        <w:ind w:firstLine="567"/>
        <w:jc w:val="both"/>
      </w:pPr>
      <w:r>
        <w:rPr>
          <w:rFonts w:ascii="Arial" w:cs="Arial" w:eastAsia="Arial" w:hAnsi="Arial"/>
          <w:sz w:val="24"/>
          <w:szCs w:val="24"/>
        </w:rPr>
        <w:t xml:space="preserve">предложение первое абзаца девятнадцатого после слов "налогового поста" дополнить словами "в бумажной форме";</w:t>
      </w:r>
    </w:p>
    <w:p>
      <w:pPr>
        <w:spacing w:after="60"/>
        <w:ind w:firstLine="567"/>
        <w:jc w:val="both"/>
      </w:pPr>
      <w:r>
        <w:rPr>
          <w:rFonts w:ascii="Arial" w:cs="Arial" w:eastAsia="Arial" w:hAnsi="Arial"/>
          <w:sz w:val="24"/>
          <w:szCs w:val="24"/>
        </w:rPr>
        <w:t xml:space="preserve">дополнить абзацами двадцатым и двадцать первым следующего содержания:</w:t>
      </w:r>
    </w:p>
    <w:p>
      <w:pPr>
        <w:spacing w:after="60"/>
        <w:ind w:firstLine="567"/>
        <w:jc w:val="both"/>
      </w:pPr>
      <w:r>
        <w:rPr>
          <w:rFonts w:ascii="Arial" w:cs="Arial" w:eastAsia="Arial" w:hAnsi="Arial"/>
          <w:sz w:val="24"/>
          <w:szCs w:val="24"/>
        </w:rPr>
        <w:t xml:space="preserve">"При составлении Акта о результатах налогового поста в электронной форме данный Акт подписывается должностным лицом налогового органа и субъектом, и/или ответственным лицом субъекта, и со всеми приложениями направляется в личный кабинет налогоплательщика либо на электронный адрес руководителя хозяйствующего субъекта или его ответственного лица.</w:t>
      </w:r>
    </w:p>
    <w:p>
      <w:pPr>
        <w:spacing w:after="60"/>
        <w:ind w:firstLine="567"/>
        <w:jc w:val="both"/>
      </w:pPr>
      <w:r>
        <w:rPr>
          <w:rFonts w:ascii="Arial" w:cs="Arial" w:eastAsia="Arial" w:hAnsi="Arial"/>
          <w:sz w:val="24"/>
          <w:szCs w:val="24"/>
        </w:rPr>
        <w:t xml:space="preserve">Если ответственное лицо или руководитель отказывается от подписи и получения Акта о результатах налогового поста под роспись, то проверяющему необходимо разъяснить, что ответственное лицо или руководитель хозяйствующего субъекта обязаны выполнить требования проверяющих, и при этом ответственность за выявленные нарушения несет хозяйствующий субъект. Если же и в этом случае последует отказ от подписи, то в Акт вносится запись - "от подписи отказался", проводится фото- и видеосъемка, и материалы отправляются в базу данных уполномоченного налогового органа.".</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декабря 2021 года № 155 (3334)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2"/>
          <w:szCs w:val="22"/>
        </w:rPr>
        <w:t xml:space="preserve">"FORM AUDIT STI-002</w:t>
      </w:r>
      <w:r>
        <w:rPr>
          <w:rFonts w:ascii="Arial" w:cs="Arial" w:eastAsia="Arial" w:hAnsi="Arial"/>
          <w:sz w:val="24"/>
          <w:szCs w:val="24"/>
        </w:rPr>
        <w:t xml:space="preserve">	</w:t>
      </w:r>
      <w:r>
        <w:rPr>
          <w:rFonts w:ascii="Arial" w:cs="Arial" w:eastAsia="Arial" w:hAnsi="Arial"/>
          <w:sz w:val="22"/>
          <w:szCs w:val="22"/>
        </w:rPr>
        <w:t xml:space="preserve">Утверждена
 </w:t>
      </w:r>
      <w:hyperlink w:history="1" r:id="rId6e-1oefjir7ganwlsbtwu">
        <w:r>
          <w:rPr>
            <w:rFonts w:ascii="Arial" w:cs="Arial" w:eastAsia="Arial" w:hAnsi="Arial"/>
            <w:color w:val="1D4ED8"/>
            <w:sz w:val="22"/>
            <w:szCs w:val="22"/>
            <w:u w:val="single"/>
          </w:rPr>
          <w:t xml:space="preserve">постановлением</w:t>
        </w:r>
      </w:hyperlink>
      <w:r>
        <w:rPr>
          <w:rFonts w:ascii="Arial" w:cs="Arial" w:eastAsia="Arial" w:hAnsi="Arial"/>
          <w:sz w:val="22"/>
          <w:szCs w:val="22"/>
        </w:rPr>
        <w:t xml:space="preserve"> Правительства Кыргызской Республики
 от 16 марта 2011 года № 109</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На фирменном бланке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ПРЕДПИСАНИЕ № _______ от __________________
 НА ПРАВО ПРОВЕДЕНИЯ ВЫЕЗДНОЙ ПРОВЕРКИ СОБЛЮДЕНИЯ НАЛОГОВОГО ЗАКОНОДАТЕЛЬСТВА, ЗАКОНОДАТЕЛЬСТВА О НЕНАЛОГОВЫХ ДОХОДАХ И О ГОСУДАРСТВЕННОМ СОЦИАЛЬНОМ СТРАХОВАНИИ В КЫРГЫЗСКОЙ РЕСПУБЛИКЕ</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ayvg0embgn19yr-9bnm" Type="http://schemas.openxmlformats.org/officeDocument/2006/relationships/hyperlink" Target="http://kodeks.duckdns.org/document/159028" TargetMode="External"/><Relationship Id="rIdo4fmxji9j45t_hiwncytr" Type="http://schemas.openxmlformats.org/officeDocument/2006/relationships/hyperlink" Target="http://kodeks.duckdns.org/document/158988" TargetMode="External"/><Relationship Id="rIdakouvxnbcn4i2fdqnvfxn" Type="http://schemas.openxmlformats.org/officeDocument/2006/relationships/hyperlink" Target="http://kodeks.duckdns.org/document/112301#st_13" TargetMode="External"/><Relationship Id="rIdxfslb4ucikxbhhmqcnbep" Type="http://schemas.openxmlformats.org/officeDocument/2006/relationships/hyperlink" Target="http://kodeks.duckdns.org/document/112301#st_17" TargetMode="External"/><Relationship Id="rId66-qbwb6g1kjctf7jv1rg" Type="http://schemas.openxmlformats.org/officeDocument/2006/relationships/hyperlink" Target="http://kodeks.duckdns.org/document/94076" TargetMode="External"/><Relationship Id="rIdrdm2mnbivtskkwjewmgh5" Type="http://schemas.openxmlformats.org/officeDocument/2006/relationships/hyperlink" Target="http://kodeks.duckdns.org/document/94098" TargetMode="External"/><Relationship Id="rId1r1-awxlqipav4su8clyn" Type="http://schemas.openxmlformats.org/officeDocument/2006/relationships/hyperlink" Target="http://kodeks.duckdns.org/document/94076" TargetMode="External"/><Relationship Id="rIdrbivpivgigqoko04qcmr5" Type="http://schemas.openxmlformats.org/officeDocument/2006/relationships/hyperlink" Target="http://kodeks.duckdns.org/document/95003" TargetMode="External"/><Relationship Id="rIdnsp8r6qccrll-fmjfsfaj" Type="http://schemas.openxmlformats.org/officeDocument/2006/relationships/hyperlink" Target="http://kodeks.duckdns.org/document/94076" TargetMode="External"/><Relationship Id="rIdvsrvs_jrwiwfwwj5zoto2" Type="http://schemas.openxmlformats.org/officeDocument/2006/relationships/hyperlink" Target="http://kodeks.duckdns.org/document/157266" TargetMode="External"/><Relationship Id="rId1szziwtl1eqh-e12hvirf" Type="http://schemas.openxmlformats.org/officeDocument/2006/relationships/hyperlink" Target="http://kodeks.duckdns.org/document/157267" TargetMode="External"/><Relationship Id="rIdnxwu2zvqhqaplimm23x4q" Type="http://schemas.openxmlformats.org/officeDocument/2006/relationships/hyperlink" Target="http://kodeks.duckdns.org/document/157267" TargetMode="External"/><Relationship Id="rIdeytlzgujb_gh6hmjafwr8" Type="http://schemas.openxmlformats.org/officeDocument/2006/relationships/hyperlink" Target="http://kodeks.duckdns.org/document/157266" TargetMode="External"/><Relationship Id="rId6e-1oefjir7ganwlsbtwu" Type="http://schemas.openxmlformats.org/officeDocument/2006/relationships/hyperlink" Target="http://kodeks.duckdns.org/document/92501" TargetMode="External"/><Relationship Id="rId7" Type="http://schemas.openxmlformats.org/officeDocument/2006/relationships/image" Target="media/93bec1c1538034512fe33c1434ae0ea86b639d33.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2026-09-23T10:01:00.409Z</dcterms:created>
  <dcterms:modified xsi:type="dcterms:W3CDTF">2026-09-23T10:01:00.409Z</dcterms:modified>
</cp:coreProperties>
</file>

<file path=docProps/custom.xml><?xml version="1.0" encoding="utf-8"?>
<Properties xmlns="http://schemas.openxmlformats.org/officeDocument/2006/custom-properties" xmlns:vt="http://schemas.openxmlformats.org/officeDocument/2006/docPropsVTypes"/>
</file>