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4yu0k7t613llw4acu3r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сентября 2023 года № 475</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КАБИНЕТ МИНИСТРОВ КЫРГЫЗСКОЙ РЕСПУБЛИКИ</w:t>
      </w:r>
    </w:p>
    <w:p>
      <w:pPr>
        <w:spacing w:after="480" w:before="200"/>
        <w:ind w:firstLine="397"/>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28 января 2022 года № 35</w:t>
      </w:r>
    </w:p>
    <w:p>
      <w:pPr>
        <w:spacing w:after="480" w:before="200"/>
        <w:jc w:val="center"/>
      </w:pPr>
      <w:r>
        <w:rPr>
          <w:rFonts w:ascii="Arial" w:cs="Arial" w:eastAsia="Arial" w:hAnsi="Arial"/>
          <w:b/>
          <w:bCs/>
          <w:sz w:val="28"/>
          <w:szCs w:val="28"/>
        </w:rPr>
        <w:t xml:space="preserve"> Об утверждении Порядка определения и применения минимального уровня контрольных цен</w:t>
      </w:r>
    </w:p>
    <w:p>
      <w:pPr>
        <w:spacing w:after="120"/>
        <w:ind w:firstLine="397"/>
        <w:jc w:val="both"/>
      </w:pPr>
      <w:r>
        <w:rPr>
          <w:rFonts w:ascii="Arial" w:cs="Arial" w:eastAsia="Arial" w:hAnsi="Arial"/>
          <w:sz w:val="24"/>
          <w:szCs w:val="24"/>
        </w:rPr>
        <w:t xml:space="preserve">В целях совершенствования механизма администрирования косвенных налогов, в соответствии с пунктом 18 </w:t>
      </w:r>
      <w:r>
        <w:rPr>
          <w:rFonts w:ascii="Arial" w:cs="Arial" w:eastAsia="Arial" w:hAnsi="Arial"/>
          <w:sz w:val="24"/>
          <w:szCs w:val="24"/>
        </w:rPr>
        <w:t xml:space="preserve">Протокола</w:t>
      </w:r>
      <w:r>
        <w:rPr>
          <w:rFonts w:ascii="Arial" w:cs="Arial" w:eastAsia="Arial" w:hAnsi="Arial"/>
          <w:sz w:val="24"/>
          <w:szCs w:val="24"/>
        </w:rPr>
        <w:t xml:space="preserve"> о порядке взимания косвенных налогов и механизме контроля за их уплатой при экспорте и импорте товаров, выполнении работ, оказании услуг (приложение № 18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ратифицирован </w:t>
      </w:r>
      <w:hyperlink w:history="1" r:id="rIdunwf9ggqm-abgkgqxwhg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21 мая 2015 года № 111), </w:t>
      </w:r>
      <w:hyperlink w:history="1" r:id="rIdm2-juckvbnkt_yt8faeka">
        <w:r>
          <w:rPr>
            <w:rFonts w:ascii="Arial" w:cs="Arial" w:eastAsia="Arial" w:hAnsi="Arial"/>
            <w:color w:val="1D4ED8"/>
            <w:sz w:val="24"/>
            <w:szCs w:val="24"/>
            <w:u w:val="single"/>
          </w:rPr>
          <w:t xml:space="preserve">статьей 139</w:t>
        </w:r>
      </w:hyperlink>
      <w:r>
        <w:rPr>
          <w:rFonts w:ascii="Arial" w:cs="Arial" w:eastAsia="Arial" w:hAnsi="Arial"/>
          <w:sz w:val="24"/>
          <w:szCs w:val="24"/>
        </w:rPr>
        <w:t xml:space="preserve"> Налогового кодекса Кыргызской Республики, статьями</w:t>
      </w:r>
      <w:hyperlink w:history="1" r:id="rIddbosxf175rrwwib6pbpej">
        <w:r>
          <w:rPr>
            <w:rFonts w:ascii="Arial" w:cs="Arial" w:eastAsia="Arial" w:hAnsi="Arial"/>
            <w:color w:val="1D4ED8"/>
            <w:sz w:val="24"/>
            <w:szCs w:val="24"/>
            <w:u w:val="single"/>
          </w:rPr>
          <w:t xml:space="preserve"> 13</w:t>
        </w:r>
      </w:hyperlink>
      <w:r>
        <w:rPr>
          <w:rFonts w:ascii="Arial" w:cs="Arial" w:eastAsia="Arial" w:hAnsi="Arial"/>
          <w:sz w:val="24"/>
          <w:szCs w:val="24"/>
        </w:rPr>
        <w:t xml:space="preserve">, </w:t>
      </w:r>
      <w:hyperlink w:history="1" r:id="rIdr3tmwnubzmjq0-z9gqv2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Утвердить </w:t>
      </w:r>
      <w:hyperlink w:history="1" r:id="rId_ue4jagijg5jln5totb-_">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и применения минимального уровня контрольных цен согласно приложению.</w:t>
      </w:r>
    </w:p>
    <w:p>
      <w:pPr>
        <w:spacing w:after="120"/>
        <w:ind w:firstLine="397"/>
        <w:jc w:val="both"/>
      </w:pPr>
      <w:r>
        <w:rPr>
          <w:rFonts w:ascii="Arial" w:cs="Arial" w:eastAsia="Arial" w:hAnsi="Arial"/>
          <w:sz w:val="24"/>
          <w:szCs w:val="24"/>
        </w:rPr>
        <w:t xml:space="preserve">2. Определить Государственную налоговую службу при Министерстве финансов Кыргызской Республики уполномоченным органом по утверждению минимального уровня контрольных цен.</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1) пункт 30 </w:t>
      </w:r>
      <w:hyperlink w:history="1" r:id="rId2kwvmarhqyansyf5l3nir">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постановлению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w:t>
      </w:r>
    </w:p>
    <w:p>
      <w:pPr>
        <w:spacing w:after="120"/>
        <w:ind w:firstLine="397"/>
        <w:jc w:val="both"/>
      </w:pPr>
      <w:r>
        <w:rPr>
          <w:rFonts w:ascii="Arial" w:cs="Arial" w:eastAsia="Arial" w:hAnsi="Arial"/>
          <w:sz w:val="24"/>
          <w:szCs w:val="24"/>
        </w:rPr>
        <w:t xml:space="preserve">2) </w:t>
      </w:r>
      <w:hyperlink w:history="1" r:id="rIdkp3hdldny05jnkcn5c3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slbjvidqdere038aogza">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w:t>
      </w:r>
    </w:p>
    <w:p>
      <w:pPr>
        <w:spacing w:after="120"/>
        <w:ind w:firstLine="397"/>
        <w:jc w:val="both"/>
      </w:pPr>
      <w:r>
        <w:rPr>
          <w:rFonts w:ascii="Arial" w:cs="Arial" w:eastAsia="Arial" w:hAnsi="Arial"/>
          <w:sz w:val="24"/>
          <w:szCs w:val="24"/>
        </w:rPr>
        <w:t xml:space="preserve">3) пункт 8 </w:t>
      </w:r>
      <w:hyperlink w:history="1" r:id="rIdczmfrpjw1rarmv2-rtpq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w:t>
      </w:r>
      <w:hyperlink w:history="1" r:id="rId8x6cojndtwyrlxj26ht3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стабилизации социально-экономической ситуации в связи с обстоятельствами непреодолимой силы" от 8 мая 2020 года № 241;</w:t>
      </w:r>
    </w:p>
    <w:p>
      <w:pPr>
        <w:spacing w:after="120"/>
        <w:ind w:firstLine="397"/>
        <w:jc w:val="both"/>
      </w:pPr>
      <w:r>
        <w:rPr>
          <w:rFonts w:ascii="Arial" w:cs="Arial" w:eastAsia="Arial" w:hAnsi="Arial"/>
          <w:sz w:val="24"/>
          <w:szCs w:val="24"/>
        </w:rPr>
        <w:t xml:space="preserve">4) </w:t>
      </w:r>
      <w:hyperlink w:history="1" r:id="rIdfg8zskbbdyrpb2rhfk_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s3hl82v6jdlhppqtz0o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i82qgfnxgyuwqgomepye">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 от 29 мая 2020 года № 279.</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480"/>
        <w:ind w:firstLine="397"/>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Приложение</w:t>
      </w:r>
    </w:p>
    <w:p>
      <w:pPr>
        <w:spacing w:after="400" w:before="400"/>
        <w:ind w:firstLine="397"/>
        <w:jc w:val="center"/>
      </w:pPr>
      <w:r>
        <w:rPr>
          <w:rFonts w:ascii="Arial" w:cs="Arial" w:eastAsia="Arial" w:hAnsi="Arial"/>
          <w:b/>
          <w:bCs/>
          <w:sz w:val="32"/>
          <w:szCs w:val="32"/>
        </w:rPr>
        <w:t xml:space="preserve">ПОРЯДОК
 определения и применения минимального уровня контрольных цен</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определение и применение минимального уровня контрольных цен (далее - МУКЦ) на товары, импортируемые на территорию Кыргызской Республики из государств-членов Евразийского экономического союза (далее - ЕАЭС) и произведенные территории Кыргызской Республики.</w:t>
      </w:r>
    </w:p>
    <w:p>
      <w:pPr>
        <w:spacing w:after="60"/>
        <w:ind w:firstLine="567"/>
        <w:jc w:val="both"/>
      </w:pPr>
      <w:r>
        <w:rPr>
          <w:rFonts w:ascii="Arial" w:cs="Arial" w:eastAsia="Arial" w:hAnsi="Arial"/>
          <w:sz w:val="24"/>
          <w:szCs w:val="24"/>
        </w:rPr>
        <w:t xml:space="preserve">2. Настоящий Порядок разработан в соответствии с пунктом 18 </w:t>
      </w:r>
      <w:r>
        <w:rPr>
          <w:rFonts w:ascii="Arial" w:cs="Arial" w:eastAsia="Arial" w:hAnsi="Arial"/>
          <w:sz w:val="24"/>
          <w:szCs w:val="24"/>
        </w:rPr>
        <w:t xml:space="preserve">Протокола</w:t>
      </w:r>
      <w:r>
        <w:rPr>
          <w:rFonts w:ascii="Arial" w:cs="Arial" w:eastAsia="Arial" w:hAnsi="Arial"/>
          <w:sz w:val="24"/>
          <w:szCs w:val="24"/>
        </w:rPr>
        <w:t xml:space="preserve"> о порядке взимания косвенных налогов и механизме контроля за их уплатой при экспорте и импорте товаров, выполнении работ, оказании услуг, где в целях обеспечения полноты уплаты косвенных налогов предусмотрена возможность применения законодательства государства-члена ЕАЭС и имеется возможность регулировать принципы определения цены в целях налогообложения.</w:t>
      </w:r>
    </w:p>
    <w:p>
      <w:pPr>
        <w:spacing w:after="60"/>
        <w:ind w:firstLine="567"/>
        <w:jc w:val="both"/>
      </w:pPr>
      <w:r>
        <w:rPr>
          <w:rFonts w:ascii="Arial" w:cs="Arial" w:eastAsia="Arial" w:hAnsi="Arial"/>
          <w:sz w:val="24"/>
          <w:szCs w:val="24"/>
        </w:rPr>
        <w:t xml:space="preserve">3.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производитель</w:t>
      </w:r>
      <w:r>
        <w:rPr>
          <w:rFonts w:ascii="Arial" w:cs="Arial" w:eastAsia="Arial" w:hAnsi="Arial"/>
          <w:sz w:val="24"/>
          <w:szCs w:val="24"/>
        </w:rPr>
        <w:t xml:space="preserve"> - налогоплательщик, осуществляющий производство товара, для которого устанавливается минимальный уровень контрольных иен;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МУКЦ</w:t>
      </w:r>
      <w:r>
        <w:rPr>
          <w:rFonts w:ascii="Arial" w:cs="Arial" w:eastAsia="Arial" w:hAnsi="Arial"/>
          <w:sz w:val="24"/>
          <w:szCs w:val="24"/>
        </w:rPr>
        <w:t xml:space="preserve"> - цена товаров, импортируемых на территорию Кыргызской Республики и произведенных на территории Кыргызской Республики, устанавливаемая в случаях и порядке, определяемых настоящим Порядком;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заявление (FORM STI-136)</w:t>
      </w:r>
      <w:r>
        <w:rPr>
          <w:rFonts w:ascii="Arial" w:cs="Arial" w:eastAsia="Arial" w:hAnsi="Arial"/>
          <w:sz w:val="24"/>
          <w:szCs w:val="24"/>
        </w:rPr>
        <w:t xml:space="preserve"> - заявление о ввозе товаров и уплате косвенных налогов (FORM STI-136);</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налог на добавленную стоимость ЕАЭС</w:t>
      </w:r>
      <w:r>
        <w:rPr>
          <w:rFonts w:ascii="Arial" w:cs="Arial" w:eastAsia="Arial" w:hAnsi="Arial"/>
          <w:sz w:val="24"/>
          <w:szCs w:val="24"/>
        </w:rPr>
        <w:t xml:space="preserve"> - налог на добавленную стоимость (далее - НДС) на товары, ввозимые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торговая организация, имеющая дистрибьюторское или дилерское соглашение (контракт или протокол намерений) с заводом-изготовителем или его торговым домом, письмо-подтверждение или сертификат от производителя, подтверждающий статус дистрибьютора или дилера.</w:t>
      </w:r>
    </w:p>
    <w:p>
      <w:pPr>
        <w:spacing w:after="60"/>
        <w:ind w:firstLine="567"/>
        <w:jc w:val="both"/>
      </w:pPr>
      <w:r>
        <w:rPr>
          <w:rFonts w:ascii="Arial" w:cs="Arial" w:eastAsia="Arial" w:hAnsi="Arial"/>
          <w:sz w:val="24"/>
          <w:szCs w:val="24"/>
        </w:rPr>
        <w:t xml:space="preserve">4. Термины и определения, используемые в настоящем Порядке, трактуются в значении, определенном настоящим Порядком и Налоговым </w:t>
      </w:r>
      <w:hyperlink w:history="1" r:id="rId1hoyceqtjtyz3psien3y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5. Размер МУКЦ устанавливается приказом уполномоченного налогового органа на товары, импортируемые на территорию Кыргызской Республики из государств-членов ЕАЭС и произведенные на территории Кыргызской Республики, согласно перечню, определяемому уполномоченным налоговым органом.</w:t>
      </w:r>
    </w:p>
    <w:p>
      <w:pPr>
        <w:spacing w:after="60"/>
        <w:ind w:firstLine="567"/>
        <w:jc w:val="both"/>
      </w:pPr>
      <w:r>
        <w:rPr>
          <w:rFonts w:ascii="Arial" w:cs="Arial" w:eastAsia="Arial" w:hAnsi="Arial"/>
          <w:sz w:val="24"/>
          <w:szCs w:val="24"/>
        </w:rPr>
        <w:t xml:space="preserve">6. Перечень товаров, на которые установлен МУКЦ (далее - Перечень), подлежит опубликованию на официальном сайте уполномоченного налогового органа по форме согласно </w:t>
      </w:r>
      <w:hyperlink w:history="1" r:id="rIdgqvjapnh7nyvzbw0fqzj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7. Размер МУКЦ устанавливается на товар, имеющий 10-значный цифровой код товарной номенклатуры внешнеэкономической деятельности (далее - ТН ВЭД ЕАЭС).</w:t>
      </w:r>
    </w:p>
    <w:p>
      <w:pPr>
        <w:spacing w:after="60"/>
        <w:ind w:firstLine="567"/>
        <w:jc w:val="both"/>
      </w:pPr>
      <w:r>
        <w:rPr>
          <w:rFonts w:ascii="Arial" w:cs="Arial" w:eastAsia="Arial" w:hAnsi="Arial"/>
          <w:sz w:val="24"/>
          <w:szCs w:val="24"/>
        </w:rPr>
        <w:t xml:space="preserve">8. 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w:t>
      </w:r>
      <w:hyperlink w:history="1" r:id="rIddqyg7vrlhslgengbd0fxz">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2. Определение МУКЦ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9. Размер МУКЦ устанавливается ежеквартально на товары, импортированные на территорию Кыргызской Республики из государств-членов ЕАЭС и произведенные на территории Кыргызской Республики согласно коду ТН ВЭД ЕАЭС.</w:t>
      </w:r>
    </w:p>
    <w:p>
      <w:pPr>
        <w:spacing w:after="60"/>
        <w:ind w:firstLine="567"/>
        <w:jc w:val="both"/>
      </w:pPr>
      <w:r>
        <w:rPr>
          <w:rFonts w:ascii="Arial" w:cs="Arial" w:eastAsia="Arial" w:hAnsi="Arial"/>
          <w:sz w:val="24"/>
          <w:szCs w:val="24"/>
        </w:rPr>
        <w:t xml:space="preserve">10. Уполномоченный налоговый орган на основании данных заявлений (FORM STI-136), представленных налогоплательщиками за последние (отчетные) шестьдесят дней, а также данных электронных счетов-фактур, оформленных налогоплательщиками за последние (отчетные) шестьдесят дней, ежеквартально, путем выборки кодов ТН ВЭД ЕАЭС определяет среднюю цену на товары, импортируемые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11. При определении МУКЦ учитывается средняя цена на определенную товарную позицию, определенная в соответствии с пунктом 11 настоящего Порядка, за вычетом 30 процентов от средней цены товара.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МУКЦ = Сц - (Сц * 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Сц - средняя цена товаров, импортированных из государств-членов ЕАЭС и/или произведенных на территории Кыргызской Республики.</w:t>
      </w:r>
    </w:p>
    <w:p>
      <w:pPr>
        <w:spacing w:after="60"/>
        <w:ind w:firstLine="567"/>
        <w:jc w:val="both"/>
      </w:pPr>
      <w:r>
        <w:rPr>
          <w:rFonts w:ascii="Arial" w:cs="Arial" w:eastAsia="Arial" w:hAnsi="Arial"/>
          <w:sz w:val="24"/>
          <w:szCs w:val="24"/>
        </w:rPr>
        <w:t xml:space="preserve">12. В случае отсутствия производства в Кыргызской Республике определенной товарной позиции с соответствующим кодом ТН ВЭД ЕАЭС и его цены для определения МУКЦ, учитывается средняя цена товарной продукции, импортируемой в Кыргызскую Республику с соответствующим кодом ТН ВЭД ЕАЭС.</w:t>
      </w:r>
    </w:p>
    <w:p>
      <w:pPr>
        <w:spacing w:after="60"/>
        <w:ind w:firstLine="567"/>
        <w:jc w:val="both"/>
      </w:pPr>
      <w:r>
        <w:rPr>
          <w:rFonts w:ascii="Arial" w:cs="Arial" w:eastAsia="Arial" w:hAnsi="Arial"/>
          <w:sz w:val="24"/>
          <w:szCs w:val="24"/>
        </w:rPr>
        <w:t xml:space="preserve">13. При отсутствии импорта в Кыргызскую Республику определенной товарной позиции с соответствующим кодом ТН ВЭД ЕАЭС и его цены для определения МУКЦ, учитывается средняя цена производимой в Кыргызской Республике товарной продукции с соответствующим кодом ТН ВЭД ЕАЭС.</w:t>
      </w:r>
    </w:p>
    <w:p>
      <w:pPr>
        <w:spacing w:after="60"/>
        <w:ind w:firstLine="567"/>
        <w:jc w:val="both"/>
      </w:pPr>
      <w:r>
        <w:rPr>
          <w:rFonts w:ascii="Arial" w:cs="Arial" w:eastAsia="Arial" w:hAnsi="Arial"/>
          <w:sz w:val="24"/>
          <w:szCs w:val="24"/>
        </w:rPr>
        <w:t xml:space="preserve">14. В случае отсутствия информации об определенной товарной позиции в автоматизированной информационной системе "Электронный счет-фактура" и заявления (FORM STI-136), МУКЦ определяется на основании информации из других источников и/или мониторинга рынка.</w:t>
      </w:r>
    </w:p>
    <w:p>
      <w:pPr>
        <w:spacing w:after="60"/>
        <w:ind w:firstLine="567"/>
        <w:jc w:val="both"/>
      </w:pPr>
      <w:r>
        <w:rPr>
          <w:rFonts w:ascii="Arial" w:cs="Arial" w:eastAsia="Arial" w:hAnsi="Arial"/>
          <w:sz w:val="24"/>
          <w:szCs w:val="24"/>
        </w:rPr>
        <w:t xml:space="preserve">15. В случае заниженных цен импортируемой товарной позиции более чем в 2 раза в сравнении с той же товарной позицией, произведенной в Кыргызской Республике, выявленных в ходе мониторинга рынка или других источников информации, МУКЦ определятся на основании данных из других источников и/или мониторинга цен рынка.</w:t>
      </w:r>
    </w:p>
    <w:p>
      <w:pPr>
        <w:spacing w:after="60"/>
        <w:ind w:firstLine="567"/>
        <w:jc w:val="both"/>
      </w:pPr>
      <w:r>
        <w:rPr>
          <w:rFonts w:ascii="Arial" w:cs="Arial" w:eastAsia="Arial" w:hAnsi="Arial"/>
          <w:sz w:val="24"/>
          <w:szCs w:val="24"/>
        </w:rPr>
        <w:t xml:space="preserve">16. Размер МУКЦ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4"/>
          <w:szCs w:val="24"/>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МУКЦ, налоговое обязательство по НДС ЕАЭС исчисляется с применением установленного МУКЦ и отражением его в налоговой отчетности по НДС.</w:t>
      </w:r>
    </w:p>
    <w:p>
      <w:pPr>
        <w:spacing w:after="60"/>
        <w:ind w:firstLine="567"/>
        <w:jc w:val="both"/>
      </w:pPr>
      <w:r>
        <w:rPr>
          <w:rFonts w:ascii="Arial" w:cs="Arial" w:eastAsia="Arial" w:hAnsi="Arial"/>
          <w:sz w:val="24"/>
          <w:szCs w:val="24"/>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Перечню, МУКЦ на "условный товар" составляет 23,5 сома за 1 кг. В данном случае, МУКЦ подлежит применению к ввезенному товару и отражению в налоговой отчетности по НДС.</w:t>
      </w:r>
    </w:p>
    <w:p>
      <w:pPr>
        <w:spacing w:after="60"/>
        <w:ind w:firstLine="567"/>
        <w:jc w:val="both"/>
      </w:pPr>
      <w:r>
        <w:rPr>
          <w:rFonts w:ascii="Arial" w:cs="Arial" w:eastAsia="Arial" w:hAnsi="Arial"/>
          <w:sz w:val="24"/>
          <w:szCs w:val="24"/>
        </w:rPr>
        <w:t xml:space="preserve">18.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МУКЦ,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60"/>
        <w:ind w:firstLine="567"/>
        <w:jc w:val="both"/>
      </w:pPr>
      <w:r>
        <w:rPr>
          <w:rFonts w:ascii="Arial" w:cs="Arial" w:eastAsia="Arial" w:hAnsi="Arial"/>
          <w:sz w:val="24"/>
          <w:szCs w:val="24"/>
        </w:rPr>
        <w:t xml:space="preserve">19. В случае, если импортер представит документ, подтверждающий его статус официального представителя (дистрибьютора или дилера), налоговое обязательство по НДС ЕАЭС исчисляется исходя из цены, указанной в договоре и товаросопроводительных документах, без применения МУКЦ.</w:t>
      </w:r>
    </w:p>
    <w:p>
      <w:pPr>
        <w:spacing w:after="60"/>
        <w:ind w:firstLine="567"/>
        <w:jc w:val="both"/>
      </w:pPr>
      <w:r>
        <w:rPr>
          <w:rFonts w:ascii="Arial" w:cs="Arial" w:eastAsia="Arial" w:hAnsi="Arial"/>
          <w:sz w:val="24"/>
          <w:szCs w:val="24"/>
        </w:rPr>
        <w:t xml:space="preserve">20. При выявлении фактов ввоза товаров на территорию Кыргызской Республики без наличия соответствующих товаросопроводительных документов, НДС ЕАЭС подлежит начислению налоговым органом с применением МУКЦ.</w:t>
      </w:r>
    </w:p>
    <w:p>
      <w:pPr>
        <w:spacing w:after="60"/>
        <w:ind w:firstLine="567"/>
        <w:jc w:val="both"/>
      </w:pPr>
      <w:r>
        <w:rPr>
          <w:rFonts w:ascii="Arial" w:cs="Arial" w:eastAsia="Arial" w:hAnsi="Arial"/>
          <w:sz w:val="24"/>
          <w:szCs w:val="24"/>
        </w:rPr>
        <w:t xml:space="preserve">21. При выявлении фактов непредставления импортером соответствующего отчета по НДС ЕАЭС при ввозе товаров в нарушение установленных требований в настоящем Порядке, НДС ЕАЭС подлежит начислению в установленном Налоговом </w:t>
      </w:r>
      <w:hyperlink w:history="1" r:id="rId9knji5xwbww13xz3-xcm9">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порядке, и налогоплательщик несет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22.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с применением установленного МУКЦ и отражением его в налоговой отчетности по НДС.</w:t>
      </w:r>
    </w:p>
    <w:p>
      <w:pPr>
        <w:spacing w:after="60"/>
        <w:ind w:firstLine="567"/>
        <w:jc w:val="both"/>
      </w:pPr>
      <w:r>
        <w:rPr>
          <w:rFonts w:ascii="Arial" w:cs="Arial" w:eastAsia="Arial" w:hAnsi="Arial"/>
          <w:sz w:val="24"/>
          <w:szCs w:val="24"/>
        </w:rPr>
        <w:t xml:space="preserve">23. В случае, если производитель осуществляет облагаемую поставку товара, включенного в Перечень, и указывает в договоре и в счете-фактуре цену товара больше установленного размера МУКЦ, налоговое обязательство по НДС исчисляется исходя из цены, указанной в договоре и в счете-фактуре, без применения МУКЦ.</w:t>
      </w:r>
    </w:p>
    <w:p>
      <w:pPr>
        <w:spacing w:after="60"/>
        <w:ind w:firstLine="567"/>
        <w:jc w:val="both"/>
      </w:pPr>
      <w:r>
        <w:rPr>
          <w:rFonts w:ascii="Arial" w:cs="Arial" w:eastAsia="Arial" w:hAnsi="Arial"/>
          <w:sz w:val="24"/>
          <w:szCs w:val="24"/>
        </w:rPr>
        <w:t xml:space="preserve">24.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МУКЦ, налоговое обязательство по НДС исчисляется без применения установленного МУКЦ, если цены производителя установлены государством или согласованы с антимонопольным органом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25. При выявлении фактов облагаемой поставки товаров без наличия соответствующих товаросопроводительных документов, НДС подлежит начислению налоговым органом с применением МУКЦ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26. Импортеры/производители товаров вправе предоставить в налоговый орган документы, подтверждающие обоснованность цены товаров, примененной сторонами сделки.</w:t>
      </w:r>
    </w:p>
    <w:p>
      <w:pPr>
        <w:spacing w:after="60"/>
        <w:ind w:firstLine="567"/>
        <w:jc w:val="both"/>
      </w:pPr>
      <w:r>
        <w:rPr>
          <w:rFonts w:ascii="Arial" w:cs="Arial" w:eastAsia="Arial" w:hAnsi="Arial"/>
          <w:sz w:val="24"/>
          <w:szCs w:val="24"/>
        </w:rPr>
        <w:t xml:space="preserve">Налоговый орган рассматривает такие документы с учетом частей 5-7 </w:t>
      </w:r>
      <w:hyperlink w:history="1" r:id="rId7vev6jbqdtpgsbn-9tafm">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обоснованной, налоговое обязательство по НДС исчисляется исходя из цены, указанной в договоре и товаросопроводительных документах, без применения МУКЦ.</w:t>
      </w:r>
    </w:p>
    <w:p>
      <w:pPr>
        <w:spacing w:after="60"/>
        <w:ind w:firstLine="567"/>
        <w:jc w:val="both"/>
      </w:pPr>
      <w:r>
        <w:rPr>
          <w:rFonts w:ascii="Arial" w:cs="Arial" w:eastAsia="Arial" w:hAnsi="Arial"/>
          <w:sz w:val="24"/>
          <w:szCs w:val="24"/>
        </w:rPr>
        <w:t xml:space="preserve">В случае, если по итогам рассмотрения налоговым органом предоставленных подтверждающих документов цена товаров, примененная сторонами сделки, признана необоснованной, НДС подлежит начислению налоговым органом с применением МУКЦ.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определения и применения минимального уровня контрольных цен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ПЕРЕЧЕНЬ
 товаров, на которые установлен минимальный уровень контрольных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
        <w:gridCol w:w="3760"/>
        <w:gridCol w:w="3204"/>
        <w:gridCol w:w="2516"/>
      </w:tblGrid>
      <w:tr>
        <w:tc>
          <w:tcPr>
            <w:tcW w:type="dxa" w:w="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2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МУКЦ</w:t>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jsetts45jp6gxeehedc">
      <w:r>
        <w:rPr>
          <w:rFonts w:ascii="Arial" w:cs="Arial" w:eastAsia="Arial" w:hAnsi="Arial"/>
          <w:color w:val="132D3F"/>
          <w:sz w:val="16"/>
          <w:szCs w:val="16"/>
          <w:u w:val="single"/>
        </w:rPr>
        <w:t xml:space="preserve">dalil.kg/document/158955</w:t>
      </w:r>
    </w:hyperlink>
  </w:p>
  <w:p>
    <w:pPr>
      <w:spacing w:after="0" w:before="40"/>
      <w:jc w:val="center"/>
    </w:pPr>
    <w:hyperlink w:history="1" r:id="rIdq2eisfh4p1tcwgnvhpef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yu0k7t613llw4acu3r1" Type="http://schemas.openxmlformats.org/officeDocument/2006/relationships/hyperlink" Target="https://dalil.kg/document/160413" TargetMode="External"/><Relationship Id="rIdunwf9ggqm-abgkgqxwhgx" Type="http://schemas.openxmlformats.org/officeDocument/2006/relationships/hyperlink" Target="https://dalil.kg/document/111154" TargetMode="External"/><Relationship Id="rIdm2-juckvbnkt_yt8faeka" Type="http://schemas.openxmlformats.org/officeDocument/2006/relationships/hyperlink" Target="https://dalil.kg/document/112342#st_139" TargetMode="External"/><Relationship Id="rIddbosxf175rrwwib6pbpej" Type="http://schemas.openxmlformats.org/officeDocument/2006/relationships/hyperlink" Target="https://dalil.kg/document/112301#st_13" TargetMode="External"/><Relationship Id="rIdr3tmwnubzmjq0-z9gqv2k" Type="http://schemas.openxmlformats.org/officeDocument/2006/relationships/hyperlink" Target="https://dalil.kg/document/112342#st_17" TargetMode="External"/><Relationship Id="rId_ue4jagijg5jln5totb-_" Type="http://schemas.openxmlformats.org/officeDocument/2006/relationships/hyperlink" Target="https://dalil.kg/document/160019#pr" TargetMode="External"/><Relationship Id="rId2kwvmarhqyansyf5l3nir" Type="http://schemas.openxmlformats.org/officeDocument/2006/relationships/hyperlink" Target="https://dalil.kg/document/96978#pr1" TargetMode="External"/><Relationship Id="rIdkp3hdldny05jnkcn5c3he" Type="http://schemas.openxmlformats.org/officeDocument/2006/relationships/hyperlink" Target="https://dalil.kg/document/99473" TargetMode="External"/><Relationship Id="rIdvslbjvidqdere038aogza" Type="http://schemas.openxmlformats.org/officeDocument/2006/relationships/hyperlink" Target="https://dalil.kg/document/99474" TargetMode="External"/><Relationship Id="rIdczmfrpjw1rarmv2-rtpqb" Type="http://schemas.openxmlformats.org/officeDocument/2006/relationships/hyperlink" Target="https://dalil.kg/document/99458" TargetMode="External"/><Relationship Id="rId8x6cojndtwyrlxj26ht3c" Type="http://schemas.openxmlformats.org/officeDocument/2006/relationships/hyperlink" Target="https://dalil.kg/document/112023" TargetMode="External"/><Relationship Id="rIdfg8zskbbdyrpb2rhfk_4e" Type="http://schemas.openxmlformats.org/officeDocument/2006/relationships/hyperlink" Target="https://dalil.kg/document/157757" TargetMode="External"/><Relationship Id="rIds3hl82v6jdlhppqtz0ol9" Type="http://schemas.openxmlformats.org/officeDocument/2006/relationships/hyperlink" Target="https://dalil.kg/document/99473" TargetMode="External"/><Relationship Id="rIdpi82qgfnxgyuwqgomepye" Type="http://schemas.openxmlformats.org/officeDocument/2006/relationships/hyperlink" Target="https://dalil.kg/document/99474" TargetMode="External"/><Relationship Id="rId1hoyceqtjtyz3psien3ym" Type="http://schemas.openxmlformats.org/officeDocument/2006/relationships/hyperlink" Target="https://dalil.kg/document/112340" TargetMode="External"/><Relationship Id="rIdgqvjapnh7nyvzbw0fqzjp" Type="http://schemas.openxmlformats.org/officeDocument/2006/relationships/hyperlink" Target="https://dalil.kg/document/158955#pr1" TargetMode="External"/><Relationship Id="rIddqyg7vrlhslgengbd0fxz" Type="http://schemas.openxmlformats.org/officeDocument/2006/relationships/hyperlink" Target="https://dalil.kg/document/112340" TargetMode="External"/><Relationship Id="rId9knji5xwbww13xz3-xcm9" Type="http://schemas.openxmlformats.org/officeDocument/2006/relationships/hyperlink" Target="https://dalil.kg/document/112340" TargetMode="External"/><Relationship Id="rId7vev6jbqdtpgsbn-9tafm" Type="http://schemas.openxmlformats.org/officeDocument/2006/relationships/hyperlink" Target="https://dalil.kg/document/112340#st_139"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jsetts45jp6gxeehedc" Type="http://schemas.openxmlformats.org/officeDocument/2006/relationships/hyperlink" Target="https://dalil.kg/document/158955" TargetMode="External"/><Relationship Id="rIdq2eisfh4p1tcwgnvhpef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2026-09-23T17:24:25.136Z</dcterms:created>
  <dcterms:modified xsi:type="dcterms:W3CDTF">2026-09-23T17:24:25.136Z</dcterms:modified>
</cp:coreProperties>
</file>

<file path=docProps/custom.xml><?xml version="1.0" encoding="utf-8"?>
<Properties xmlns="http://schemas.openxmlformats.org/officeDocument/2006/custom-properties" xmlns:vt="http://schemas.openxmlformats.org/officeDocument/2006/docPropsVTypes"/>
</file>