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pmxm6mbtu2loxnw7rxpo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24 февраля 2022 года № 95)</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ПОРЯДОК
 проведения контрольного закупа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qqmfj0uamzdambh4nodad">
        <w:r>
          <w:rPr>
            <w:rFonts w:ascii="Arial" w:cs="Arial" w:eastAsia="Arial" w:hAnsi="Arial"/>
            <w:i/>
            <w:iCs/>
            <w:color w:val="1D4ED8"/>
            <w:sz w:val="24"/>
            <w:szCs w:val="24"/>
            <w:u w:val="single"/>
          </w:rPr>
          <w:t xml:space="preserve">28 августа  2025 года № 533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проведения и оформления материалов контрольного закупа разработан в соответствии со статьями </w:t>
      </w:r>
      <w:hyperlink w:history="1" r:id="rIdwkmhhvaptz7ynl9fufl9r">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giz6tbn_yihu6uu2ap-pz">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xv9rppqy-gm73ydicoxys">
        <w:r>
          <w:rPr>
            <w:rFonts w:ascii="Arial" w:cs="Arial" w:eastAsia="Arial" w:hAnsi="Arial"/>
            <w:color w:val="1D4ED8"/>
            <w:sz w:val="24"/>
            <w:szCs w:val="24"/>
            <w:u w:val="single"/>
          </w:rPr>
          <w:t xml:space="preserve">130</w:t>
        </w:r>
      </w:hyperlink>
      <w:r>
        <w:rPr>
          <w:rFonts w:ascii="Arial" w:cs="Arial" w:eastAsia="Arial" w:hAnsi="Arial"/>
          <w:sz w:val="24"/>
          <w:szCs w:val="24"/>
        </w:rPr>
        <w:t xml:space="preserve"> Налогового кодекса Кыргызской Республики и определяет порядок проведения и оформления материалов контрольного закупа.</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проведение контрольного закупа по соблюдению требований налогового законодательства Кыргызской Республики, который оформляется посредством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проводящий контрольный закуп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 х-отчет – промежуточный отчет (контрольный чек контрольной кассовой машины (дале – ККМ) без гашения) итога сменных расчетных операций на момент формирования отчета;</w:t>
      </w:r>
    </w:p>
    <w:p>
      <w:pPr>
        <w:spacing w:after="120"/>
        <w:ind w:firstLine="709"/>
        <w:jc w:val="both"/>
      </w:pPr>
      <w:r>
        <w:rPr>
          <w:rFonts w:ascii="Arial" w:cs="Arial" w:eastAsia="Arial" w:hAnsi="Arial"/>
          <w:sz w:val="24"/>
          <w:szCs w:val="24"/>
        </w:rPr>
        <w:t xml:space="preserve">6) промежуточный отчет – отчет, содержащий информацию по суммам документов, предъявленных к оплате определенного периода времени, формируемый посредством программных средств учета товаров, работ и услуг;</w:t>
      </w:r>
    </w:p>
    <w:p>
      <w:pPr>
        <w:spacing w:after="120"/>
        <w:ind w:firstLine="709"/>
        <w:jc w:val="both"/>
      </w:pPr>
      <w:r>
        <w:rPr>
          <w:rFonts w:ascii="Arial" w:cs="Arial" w:eastAsia="Arial" w:hAnsi="Arial"/>
          <w:sz w:val="24"/>
          <w:szCs w:val="24"/>
        </w:rPr>
        <w:t xml:space="preserve">7) акт контрольного закупа – документ, в котором оформляются результаты контрольного закупа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8)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 Контрольный закуп – один из методов налогового контроля, осуществляемого без ограничения периодичности должностным лицом налогового органа или привлеченным физическим лицом путем контрольной покупки определенного количество товара или заключения контрольной сделки с субъектом для контроля за соблюдением порядка и требований по применению контрольно-кассовых машин (далее – ККМ), а также выдачи контрольного кассового чека населению.</w:t>
      </w:r>
    </w:p>
    <w:p>
      <w:pPr>
        <w:spacing w:after="120"/>
        <w:ind w:firstLine="709"/>
        <w:jc w:val="both"/>
      </w:pPr>
      <w:r>
        <w:rPr>
          <w:rFonts w:ascii="Arial" w:cs="Arial" w:eastAsia="Arial" w:hAnsi="Arial"/>
          <w:sz w:val="24"/>
          <w:szCs w:val="24"/>
        </w:rPr>
        <w:t xml:space="preserve">4. Контрольный закуп проводится органами налоговой службы исключительно для контроля за соблюдением порядка и требований налогового законодательства по применению ККМ при осуществлении денежных расчетов в торговых операциях или при выполнении работ и оказании услуг, а также на наличие и применение оборудования
 (далее – программно-техническое устройство), предназначенного для осуществления платежей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w:t>
      </w:r>
    </w:p>
    <w:p>
      <w:pPr>
        <w:spacing w:after="120"/>
        <w:ind w:firstLine="709"/>
        <w:jc w:val="both"/>
      </w:pPr>
      <w:r>
        <w:rPr>
          <w:rFonts w:ascii="Arial" w:cs="Arial" w:eastAsia="Arial" w:hAnsi="Arial"/>
          <w:sz w:val="24"/>
          <w:szCs w:val="24"/>
        </w:rPr>
        <w:t xml:space="preserve">Контрольный закуп осуществляется без ограничения периодичности и может быть проведен отдельно или в ходе проведения рейдового налогового контроля.</w:t>
      </w:r>
    </w:p>
    <w:p>
      <w:pPr>
        <w:spacing w:after="120"/>
        <w:ind w:firstLine="709"/>
        <w:jc w:val="both"/>
      </w:pPr>
      <w:r>
        <w:rPr>
          <w:rFonts w:ascii="Arial" w:cs="Arial" w:eastAsia="Arial" w:hAnsi="Arial"/>
          <w:sz w:val="24"/>
          <w:szCs w:val="24"/>
        </w:rPr>
        <w:t xml:space="preserve">При использовании субъектом программных средств учета товаров, работ и услуг (далее – ПСУ) контрольный закуп производится органами налоговой службы для контроля выдачи контрольно-кассовых чеков населению на соответствие их документам, предъявляемым к оплате.</w:t>
      </w:r>
    </w:p>
    <w:p>
      <w:pPr>
        <w:spacing w:after="120"/>
        <w:ind w:firstLine="709"/>
        <w:jc w:val="both"/>
      </w:pPr>
      <w:r>
        <w:rPr>
          <w:rFonts w:ascii="Arial" w:cs="Arial" w:eastAsia="Arial" w:hAnsi="Arial"/>
          <w:sz w:val="24"/>
          <w:szCs w:val="24"/>
        </w:rPr>
        <w:t xml:space="preserve">5. При проведении контрольного закупа органы налоговой службы вправе использовать данные, хранящиеся в ККМ, информационных системах уполномоченного налогового органа и/или ПСУ.</w:t>
      </w:r>
    </w:p>
    <w:p>
      <w:pPr>
        <w:spacing w:after="120"/>
        <w:ind w:firstLine="709"/>
        <w:jc w:val="both"/>
      </w:pPr>
      <w:r>
        <w:rPr>
          <w:rFonts w:ascii="Arial" w:cs="Arial" w:eastAsia="Arial" w:hAnsi="Arial"/>
          <w:sz w:val="24"/>
          <w:szCs w:val="24"/>
        </w:rPr>
        <w:t xml:space="preserve">6. Целью проведения контрольного закупа является:</w:t>
      </w:r>
    </w:p>
    <w:p>
      <w:pPr>
        <w:spacing w:after="120"/>
        <w:ind w:firstLine="709"/>
        <w:jc w:val="both"/>
      </w:pPr>
      <w:r>
        <w:rPr>
          <w:rFonts w:ascii="Arial" w:cs="Arial" w:eastAsia="Arial" w:hAnsi="Arial"/>
          <w:sz w:val="24"/>
          <w:szCs w:val="24"/>
        </w:rPr>
        <w:t xml:space="preserve">1) установление недобросовестных налогоплательщиков в части соблюдения требований налогового законодательства по применению ККМ при осуществлении денежных расчетов в торговых операциях или при выполнении работ и оказании услуг;</w:t>
      </w:r>
    </w:p>
    <w:p>
      <w:pPr>
        <w:spacing w:after="120"/>
        <w:ind w:firstLine="709"/>
        <w:jc w:val="both"/>
      </w:pPr>
      <w:r>
        <w:rPr>
          <w:rFonts w:ascii="Arial" w:cs="Arial" w:eastAsia="Arial" w:hAnsi="Arial"/>
          <w:sz w:val="24"/>
          <w:szCs w:val="24"/>
        </w:rPr>
        <w:t xml:space="preserve">2) сбор и анализ деятельности субъекта для определения уровня риск ориентированности в проведении рейдового налогового контроля и/или установления налогового поста.</w:t>
      </w:r>
    </w:p>
    <w:p>
      <w:pPr>
        <w:spacing w:after="120"/>
        <w:ind w:firstLine="709"/>
        <w:jc w:val="both"/>
      </w:pPr>
      <w:r>
        <w:rPr>
          <w:rFonts w:ascii="Arial" w:cs="Arial" w:eastAsia="Arial" w:hAnsi="Arial"/>
          <w:sz w:val="24"/>
          <w:szCs w:val="24"/>
        </w:rPr>
        <w:t xml:space="preserve">7. Основаниями для назначения контрольного закупа являются:</w:t>
      </w:r>
    </w:p>
    <w:p>
      <w:pPr>
        <w:spacing w:after="120"/>
        <w:ind w:firstLine="709"/>
        <w:jc w:val="both"/>
      </w:pPr>
      <w:r>
        <w:rPr>
          <w:rFonts w:ascii="Arial" w:cs="Arial" w:eastAsia="Arial" w:hAnsi="Arial"/>
          <w:sz w:val="24"/>
          <w:szCs w:val="24"/>
        </w:rPr>
        <w:t xml:space="preserve">1) неактивность ККМ по данным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не периодичность пробивания контрольно-кассовых чеков;</w:t>
      </w:r>
    </w:p>
    <w:p>
      <w:pPr>
        <w:spacing w:after="120"/>
        <w:ind w:firstLine="709"/>
        <w:jc w:val="both"/>
      </w:pPr>
      <w:r>
        <w:rPr>
          <w:rFonts w:ascii="Arial" w:cs="Arial" w:eastAsia="Arial" w:hAnsi="Arial"/>
          <w:sz w:val="24"/>
          <w:szCs w:val="24"/>
        </w:rPr>
        <w:t xml:space="preserve">3) пробивание контрольно-кассовых чеков на большие суммы выручки одним чеком;</w:t>
      </w:r>
    </w:p>
    <w:p>
      <w:pPr>
        <w:spacing w:after="120"/>
        <w:ind w:firstLine="709"/>
        <w:jc w:val="both"/>
      </w:pPr>
      <w:r>
        <w:rPr>
          <w:rFonts w:ascii="Arial" w:cs="Arial" w:eastAsia="Arial" w:hAnsi="Arial"/>
          <w:sz w:val="24"/>
          <w:szCs w:val="24"/>
        </w:rPr>
        <w:t xml:space="preserve">4) пробитие минимального количества контрольно-кассовых чеков за определенный период времени работы субъекта;</w:t>
      </w:r>
    </w:p>
    <w:p>
      <w:pPr>
        <w:spacing w:after="120"/>
        <w:ind w:firstLine="709"/>
        <w:jc w:val="both"/>
      </w:pPr>
      <w:r>
        <w:rPr>
          <w:rFonts w:ascii="Arial" w:cs="Arial" w:eastAsia="Arial" w:hAnsi="Arial"/>
          <w:sz w:val="24"/>
          <w:szCs w:val="24"/>
        </w:rPr>
        <w:t xml:space="preserve">5) применение ККМ в недоступном для населения месте;</w:t>
      </w:r>
    </w:p>
    <w:p>
      <w:pPr>
        <w:spacing w:after="120"/>
        <w:ind w:firstLine="709"/>
        <w:jc w:val="both"/>
      </w:pPr>
      <w:r>
        <w:rPr>
          <w:rFonts w:ascii="Arial" w:cs="Arial" w:eastAsia="Arial" w:hAnsi="Arial"/>
          <w:sz w:val="24"/>
          <w:szCs w:val="24"/>
        </w:rPr>
        <w:t xml:space="preserve">6) жалоба физических лиц;</w:t>
      </w:r>
    </w:p>
    <w:p>
      <w:pPr>
        <w:spacing w:after="120"/>
        <w:ind w:firstLine="709"/>
        <w:jc w:val="both"/>
      </w:pPr>
      <w:r>
        <w:rPr>
          <w:rFonts w:ascii="Arial" w:cs="Arial" w:eastAsia="Arial" w:hAnsi="Arial"/>
          <w:sz w:val="24"/>
          <w:szCs w:val="24"/>
        </w:rPr>
        <w:t xml:space="preserve">7) выписка электронных счет-фактур и/или упрощенной счет-фактуры в адрес населения с указанием ИНН девятками, но без регистрации ККМ;</w:t>
      </w:r>
    </w:p>
    <w:p>
      <w:pPr>
        <w:spacing w:after="120"/>
        <w:ind w:firstLine="709"/>
        <w:jc w:val="both"/>
      </w:pPr>
      <w:r>
        <w:rPr>
          <w:rFonts w:ascii="Arial" w:cs="Arial" w:eastAsia="Arial" w:hAnsi="Arial"/>
          <w:sz w:val="24"/>
          <w:szCs w:val="24"/>
        </w:rPr>
        <w:t xml:space="preserve">8) по результатам проведенного анализа факторов риска неприменения ККМ.</w:t>
      </w:r>
    </w:p>
    <w:p>
      <w:pPr>
        <w:spacing w:after="120"/>
        <w:ind w:firstLine="709"/>
        <w:jc w:val="both"/>
      </w:pPr>
      <w:r>
        <w:rPr>
          <w:rFonts w:ascii="Arial" w:cs="Arial" w:eastAsia="Arial" w:hAnsi="Arial"/>
          <w:sz w:val="24"/>
          <w:szCs w:val="24"/>
        </w:rPr>
        <w:t xml:space="preserve">8. Контрольный закуп проводится должностным лицом органа налоговой службы (далее – сотрудник).</w:t>
      </w:r>
    </w:p>
    <w:p>
      <w:pPr>
        <w:spacing w:after="120"/>
        <w:ind w:firstLine="709"/>
        <w:jc w:val="both"/>
      </w:pPr>
      <w:r>
        <w:rPr>
          <w:rFonts w:ascii="Arial" w:cs="Arial" w:eastAsia="Arial" w:hAnsi="Arial"/>
          <w:sz w:val="24"/>
          <w:szCs w:val="24"/>
        </w:rPr>
        <w:t xml:space="preserve">9. В случае возврата товара, приобретенного при проведении контрольного закупа, продавец и/или изготовитель/производитель по требованию сотрудника обязан вернуть ему в полном размере денежные средства, уплаченные за товар (при условии сохранности товарного вида).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проведения контрольного закупа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Для проведения контрольного закупа руководитель органа налоговой службы или лицо, уполномоченное руководителем органа налоговой службы, подписывает (подтверждает) предписание по форме, утвержденной уполномоченным налоговым органом, на соответствующем носителе, содержащее следующие реквизиты:</w:t>
      </w:r>
    </w:p>
    <w:p>
      <w:pPr>
        <w:spacing w:after="120"/>
        <w:ind w:firstLine="709"/>
        <w:jc w:val="both"/>
      </w:pPr>
      <w:r>
        <w:rPr>
          <w:rFonts w:ascii="Arial" w:cs="Arial" w:eastAsia="Arial" w:hAnsi="Arial"/>
          <w:sz w:val="24"/>
          <w:szCs w:val="24"/>
        </w:rPr>
        <w:t xml:space="preserve">1) дата и номер регистрации предписания;</w:t>
      </w:r>
    </w:p>
    <w:p>
      <w:pPr>
        <w:spacing w:after="120"/>
        <w:ind w:firstLine="709"/>
        <w:jc w:val="both"/>
      </w:pPr>
      <w:r>
        <w:rPr>
          <w:rFonts w:ascii="Arial" w:cs="Arial" w:eastAsia="Arial" w:hAnsi="Arial"/>
          <w:sz w:val="24"/>
          <w:szCs w:val="24"/>
        </w:rPr>
        <w:t xml:space="preserve">2) наименование органа налоговой службы;</w:t>
      </w:r>
    </w:p>
    <w:p>
      <w:pPr>
        <w:spacing w:after="120"/>
        <w:ind w:firstLine="709"/>
        <w:jc w:val="both"/>
      </w:pPr>
      <w:r>
        <w:rPr>
          <w:rFonts w:ascii="Arial" w:cs="Arial" w:eastAsia="Arial" w:hAnsi="Arial"/>
          <w:sz w:val="24"/>
          <w:szCs w:val="24"/>
        </w:rPr>
        <w:t xml:space="preserve">3) фамилия, имя, отчество сотрудника, которому поручено проведение контрольного закупа;</w:t>
      </w:r>
    </w:p>
    <w:p>
      <w:pPr>
        <w:spacing w:after="120"/>
        <w:ind w:firstLine="709"/>
        <w:jc w:val="both"/>
      </w:pPr>
      <w:r>
        <w:rPr>
          <w:rFonts w:ascii="Arial" w:cs="Arial" w:eastAsia="Arial" w:hAnsi="Arial"/>
          <w:sz w:val="24"/>
          <w:szCs w:val="24"/>
        </w:rPr>
        <w:t xml:space="preserve">4) полное наименование субъекта;</w:t>
      </w:r>
    </w:p>
    <w:p>
      <w:pPr>
        <w:spacing w:after="120"/>
        <w:ind w:firstLine="709"/>
        <w:jc w:val="both"/>
      </w:pPr>
      <w:r>
        <w:rPr>
          <w:rFonts w:ascii="Arial" w:cs="Arial" w:eastAsia="Arial" w:hAnsi="Arial"/>
          <w:sz w:val="24"/>
          <w:szCs w:val="24"/>
        </w:rPr>
        <w:t xml:space="preserve">5) идентификационный налоговый номер (далее – ИНН) субъекта;</w:t>
      </w:r>
    </w:p>
    <w:p>
      <w:pPr>
        <w:spacing w:after="120"/>
        <w:ind w:firstLine="709"/>
        <w:jc w:val="both"/>
      </w:pPr>
      <w:r>
        <w:rPr>
          <w:rFonts w:ascii="Arial" w:cs="Arial" w:eastAsia="Arial" w:hAnsi="Arial"/>
          <w:sz w:val="24"/>
          <w:szCs w:val="24"/>
        </w:rPr>
        <w:t xml:space="preserve">6) основание контрольного закупа;</w:t>
      </w:r>
    </w:p>
    <w:p>
      <w:pPr>
        <w:spacing w:after="120"/>
        <w:ind w:firstLine="709"/>
        <w:jc w:val="both"/>
      </w:pPr>
      <w:r>
        <w:rPr>
          <w:rFonts w:ascii="Arial" w:cs="Arial" w:eastAsia="Arial" w:hAnsi="Arial"/>
          <w:sz w:val="24"/>
          <w:szCs w:val="24"/>
        </w:rPr>
        <w:t xml:space="preserve">7) срок проведения контрольного закупа.</w:t>
      </w:r>
    </w:p>
    <w:p>
      <w:pPr>
        <w:spacing w:after="120"/>
        <w:ind w:firstLine="709"/>
        <w:jc w:val="both"/>
      </w:pPr>
      <w:r>
        <w:rPr>
          <w:rFonts w:ascii="Arial" w:cs="Arial" w:eastAsia="Arial" w:hAnsi="Arial"/>
          <w:sz w:val="24"/>
          <w:szCs w:val="24"/>
        </w:rPr>
        <w:t xml:space="preserve">Предписание на право проведения контрольного закупа оформляется посредством информационной системы уполномоченного налогового органа. Предписание должно быть подписано (подтверждено) электронной подписью руководителя органа налоговой службы или лицом, уполномоченным руководителем органа налоговой службы, в информационной системе уполномоченного налогового органа. При необходимости возможно распечатывание предписания в бумажной форме, подлинность которого можно проверить QR-кодом.</w:t>
      </w:r>
    </w:p>
    <w:p>
      <w:pPr>
        <w:spacing w:after="120"/>
        <w:ind w:firstLine="709"/>
        <w:jc w:val="both"/>
      </w:pPr>
      <w:r>
        <w:rPr>
          <w:rFonts w:ascii="Arial" w:cs="Arial" w:eastAsia="Arial" w:hAnsi="Arial"/>
          <w:sz w:val="24"/>
          <w:szCs w:val="24"/>
        </w:rPr>
        <w:t xml:space="preserve">11. По прибытии на место дислокации субъекта, у которого необходимо провести контрольный закуп сотрудник и/или привлеченное физическое лицо анализирует ситуацию и осуществляет визуальное наблюдение за деятельностью субъекта на предмет применения им ККМ, ПСУ и/или програмно-технического устройства, затем проводит контрольный закуп. После проведения контрольного закупа, сотрудник предъявляет субъекту и/или его ответственному лицу (физическое лицо, выполняющее определенные действия в интересах субъекта, которое находится в трудовых отношениях с субъектом) служебное удостоверение (в твердом либо в электронном виде) и предписание в электронной форме на соответствующем носителе для ознакомления, подтверждая графической подписью. Сотрудник также может предъявить субъекту или его ответственному лицу предписание в бумажном виде. По взаимному согласованию сотрудник может направить на электронный адрес или мессенджер субъекта предписание в электронной форме для ознакомления.</w:t>
      </w:r>
    </w:p>
    <w:p>
      <w:pPr>
        <w:spacing w:after="120"/>
        <w:ind w:firstLine="709"/>
        <w:jc w:val="both"/>
      </w:pPr>
      <w:r>
        <w:rPr>
          <w:rFonts w:ascii="Arial" w:cs="Arial" w:eastAsia="Arial" w:hAnsi="Arial"/>
          <w:sz w:val="24"/>
          <w:szCs w:val="24"/>
        </w:rPr>
        <w:t xml:space="preserve">12. Субъект или его ответственное лицо вправе проверить подлинность предписания, используя QR-код, размещенный на предписании в электронном виде.</w:t>
      </w:r>
    </w:p>
    <w:p>
      <w:pPr>
        <w:spacing w:after="120"/>
        <w:ind w:firstLine="709"/>
        <w:jc w:val="both"/>
      </w:pPr>
      <w:r>
        <w:rPr>
          <w:rFonts w:ascii="Arial" w:cs="Arial" w:eastAsia="Arial" w:hAnsi="Arial"/>
          <w:sz w:val="24"/>
          <w:szCs w:val="24"/>
        </w:rPr>
        <w:t xml:space="preserve">13. В случае отказа субъекта или его ответственного лица от ознакомления с предписанием, сотрудник указывает в предписании на соответствующем носителе или в бланке предписания в бумажном виде информацию об отказе. Отказ от ознакомления с предписанием не является препятствием для проведения контрольного закупа.</w:t>
      </w:r>
    </w:p>
    <w:p>
      <w:pPr>
        <w:spacing w:after="120"/>
        <w:ind w:firstLine="709"/>
        <w:jc w:val="both"/>
      </w:pPr>
      <w:r>
        <w:rPr>
          <w:rFonts w:ascii="Arial" w:cs="Arial" w:eastAsia="Arial" w:hAnsi="Arial"/>
          <w:sz w:val="24"/>
          <w:szCs w:val="24"/>
        </w:rPr>
        <w:t xml:space="preserve">14. После предъявления предписания и служебного удостоверения сотрудник требует у субъекта или его ответственного лица пробить х-отчет от ККМ и/или промежуточный отчет от ПСУ на момент проведения контрольного закупа.</w:t>
      </w:r>
    </w:p>
    <w:p>
      <w:pPr>
        <w:spacing w:after="120"/>
        <w:ind w:firstLine="709"/>
        <w:jc w:val="both"/>
      </w:pPr>
      <w:r>
        <w:rPr>
          <w:rFonts w:ascii="Arial" w:cs="Arial" w:eastAsia="Arial" w:hAnsi="Arial"/>
          <w:sz w:val="24"/>
          <w:szCs w:val="24"/>
        </w:rPr>
        <w:t xml:space="preserve">Сотрудник, получив х-отчет и/или промежуточный отчет, вместе с субъектом или его ответственным лицом снимает фактический остаток наличных денежных средств в кассе субъекта с заполнением акта снятия остатков наличных денежных средств в кассе по форме, утверждаемой уполномоченным налоговым органом (далее – акт снятия наличных денежных средств), где наличная выручка указывается покупюрно и выводится общая сумма выручки на момент контроля цифрами и прописью. При снятии остатков наличных денежных средств в кассе субъект или ответственное лицо субъекта считает наличные денежные средства, а сотрудник заполняет акт снятия остатков наличных денежных средств.</w:t>
      </w:r>
    </w:p>
    <w:p>
      <w:pPr>
        <w:spacing w:after="120"/>
        <w:ind w:firstLine="709"/>
        <w:jc w:val="both"/>
      </w:pPr>
      <w:r>
        <w:rPr>
          <w:rFonts w:ascii="Arial" w:cs="Arial" w:eastAsia="Arial" w:hAnsi="Arial"/>
          <w:sz w:val="24"/>
          <w:szCs w:val="24"/>
        </w:rPr>
        <w:t xml:space="preserve">Акт снятия остатков наличных денежных средств подписывается сотрудником и субъектом и/или ответственным лицом субъекта с указанием данных этого лица. В случае отказа субъекта или ответственного лица субъекта от подписания акта снятия остатков наличных денежных средств, сотрудником производится фотовидеофиксация и в акте снятия остатков наличных денежных средств вносится запись «от подписания акта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В случае установления отсутствия ККМ или применения неисправного ККМ, то данный факт фиксируется в акте контрольного закупа и по результатам его рассмотрения принимаются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15. Если субъект на одном объекте применяет несколько ККМ, то контроль кассовой дисциплины осуществляется по каждой ККМ отдельно.</w:t>
      </w:r>
    </w:p>
    <w:p>
      <w:pPr>
        <w:spacing w:after="120"/>
        <w:ind w:firstLine="709"/>
        <w:jc w:val="both"/>
      </w:pPr>
      <w:r>
        <w:rPr>
          <w:rFonts w:ascii="Arial" w:cs="Arial" w:eastAsia="Arial" w:hAnsi="Arial"/>
          <w:sz w:val="24"/>
          <w:szCs w:val="24"/>
        </w:rPr>
        <w:t xml:space="preserve">16. При снятии остатков наличных денежных средств в кассе сотрудник вправе производить обследование территории, помещения, объектов имущества (в том числе транспортных средств) субъекта, используемых для осуществления экономической деятельности, на предмет сокрытия сумм денежных средств, которые не были пробиты через ККМ.</w:t>
      </w:r>
    </w:p>
    <w:p>
      <w:pPr>
        <w:spacing w:after="120"/>
        <w:ind w:firstLine="709"/>
        <w:jc w:val="both"/>
      </w:pPr>
      <w:r>
        <w:rPr>
          <w:rFonts w:ascii="Arial" w:cs="Arial" w:eastAsia="Arial" w:hAnsi="Arial"/>
          <w:sz w:val="24"/>
          <w:szCs w:val="24"/>
        </w:rPr>
        <w:t xml:space="preserve">17. Фактический остаток наличных денежных средств в кассе на момент рейдового налогового контроля сверяется с суммами, указанными в х-отчете и/или промежуточном отчете.</w:t>
      </w:r>
    </w:p>
    <w:p>
      <w:pPr>
        <w:spacing w:after="120"/>
        <w:ind w:firstLine="709"/>
        <w:jc w:val="both"/>
      </w:pPr>
      <w:r>
        <w:rPr>
          <w:rFonts w:ascii="Arial" w:cs="Arial" w:eastAsia="Arial" w:hAnsi="Arial"/>
          <w:sz w:val="24"/>
          <w:szCs w:val="24"/>
        </w:rPr>
        <w:t xml:space="preserve">18. Если наличных денежных средств в кассе оказалось больше (величины одного расчетного показателя), чем сумма, указанная в
 х-отчете и/или в промежуточном отчете, то сумма излишков является подтверждением факта непробития контрольно-кассового чека покупателю (клиенту) и в акте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субъекта обязан предоставить в письменном виде объяснительную по данному выявленному факту, которая прилагается к акту контрольного закупа.</w:t>
      </w:r>
    </w:p>
    <w:p>
      <w:pPr>
        <w:spacing w:after="120"/>
        <w:ind w:firstLine="709"/>
        <w:jc w:val="both"/>
      </w:pPr>
      <w:r>
        <w:rPr>
          <w:rFonts w:ascii="Arial" w:cs="Arial" w:eastAsia="Arial" w:hAnsi="Arial"/>
          <w:sz w:val="24"/>
          <w:szCs w:val="24"/>
        </w:rPr>
        <w:t xml:space="preserve">В случае подтверждения факта наличия излишков денежных средств в кассе субъект обязан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19. Если наличных денежных средств в кассе оказалось меньше, чем сумма, указанная в х-отчете и/или в промежуточном отчете, в акт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ответственное лицо субъекта обязан предоставить объяснительную, документы, подтверждающие расходы на недостающую сумму, которые прилагаются к акту контрольного закупа.</w:t>
      </w:r>
    </w:p>
    <w:p>
      <w:pPr>
        <w:spacing w:after="120"/>
        <w:ind w:firstLine="709"/>
        <w:jc w:val="both"/>
      </w:pPr>
      <w:r>
        <w:rPr>
          <w:rFonts w:ascii="Arial" w:cs="Arial" w:eastAsia="Arial" w:hAnsi="Arial"/>
          <w:sz w:val="24"/>
          <w:szCs w:val="24"/>
        </w:rPr>
        <w:t xml:space="preserve">20. Если сумма, указанная в промежуточном отчете, оказалась больше, чем сумма, указанная в х-отчете, то сумма разницы (излишка) является подтверждением непробития контрольно-кассового чека и в акт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обязан предоставить в письменном виде объяснительную, которая прилагается к акту контрольного закупа.</w:t>
      </w:r>
    </w:p>
    <w:p>
      <w:pPr>
        <w:spacing w:after="120"/>
        <w:ind w:firstLine="709"/>
        <w:jc w:val="both"/>
      </w:pPr>
      <w:r>
        <w:rPr>
          <w:rFonts w:ascii="Arial" w:cs="Arial" w:eastAsia="Arial" w:hAnsi="Arial"/>
          <w:sz w:val="24"/>
          <w:szCs w:val="24"/>
        </w:rPr>
        <w:t xml:space="preserve">В случае отказа субъекта в предоставлении объяснительной в акте контрольного закупа указывается информация об отказе в предоставлении объяснительной.</w:t>
      </w:r>
    </w:p>
    <w:p>
      <w:pPr>
        <w:spacing w:after="120"/>
        <w:ind w:firstLine="709"/>
        <w:jc w:val="both"/>
      </w:pPr>
      <w:r>
        <w:rPr>
          <w:rFonts w:ascii="Arial" w:cs="Arial" w:eastAsia="Arial" w:hAnsi="Arial"/>
          <w:sz w:val="24"/>
          <w:szCs w:val="24"/>
        </w:rPr>
        <w:t xml:space="preserve">Если сумма, указанная в промежуточном отчете, оказалась меньше, чем сумма, указанная в х-отчете, то сумма разницы относится к недостаче и в акт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21. При наличии оборудования и/или технологий (программно-технического устройства), предназначенных для приема платежей в безналичной форме, сличается сумма безналичных денежных средств, которая указана в чеке или выписке по уплаченным суммам, посредством всех оборудований и/или технологий (программно-технического устройства), предназначенных для приема платежей в безналичной форме, по отношению к безналичной выручке, указанной в х-отчете.</w:t>
      </w:r>
    </w:p>
    <w:p>
      <w:pPr>
        <w:spacing w:after="120"/>
        <w:ind w:firstLine="709"/>
        <w:jc w:val="both"/>
      </w:pPr>
      <w:r>
        <w:rPr>
          <w:rFonts w:ascii="Arial" w:cs="Arial" w:eastAsia="Arial" w:hAnsi="Arial"/>
          <w:sz w:val="24"/>
          <w:szCs w:val="24"/>
        </w:rPr>
        <w:t xml:space="preserve">Если безналичных денежных средств в чеке или выписке оказалось больше величины одного расчетного показателя чем сумма, указанная в х-отчете и/или в промежуточном отчете, то сумма излишков является подтверждением факта непробития контрольно-кассового чека покупателю (клиенту) и в акт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субъекта обязан предоставить в письменном виде объяснительную, которая прилагается к акту контрольного закупа.</w:t>
      </w:r>
    </w:p>
    <w:p>
      <w:pPr>
        <w:spacing w:after="120"/>
        <w:ind w:firstLine="709"/>
        <w:jc w:val="both"/>
      </w:pPr>
      <w:r>
        <w:rPr>
          <w:rFonts w:ascii="Arial" w:cs="Arial" w:eastAsia="Arial" w:hAnsi="Arial"/>
          <w:sz w:val="24"/>
          <w:szCs w:val="24"/>
        </w:rPr>
        <w:t xml:space="preserve">В случае подтверждения факта наличия излишков денежных средств субъект обязан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Если безналичных денежных средств в чеке или выписке оказалось меньше, чем сумма, указанная в х-отчете и/или в промежуточном отчете, то в акт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или его ответственное лицо обязан предоставить документ, подтверждающий расходы на недостающую сумму, который прилагается к акту контрольного закупа.</w:t>
      </w:r>
    </w:p>
    <w:p>
      <w:pPr>
        <w:spacing w:after="120"/>
        <w:ind w:firstLine="709"/>
        <w:jc w:val="both"/>
      </w:pPr>
      <w:r>
        <w:rPr>
          <w:rFonts w:ascii="Arial" w:cs="Arial" w:eastAsia="Arial" w:hAnsi="Arial"/>
          <w:sz w:val="24"/>
          <w:szCs w:val="24"/>
        </w:rPr>
        <w:t xml:space="preserve">22. В зависимости от установленного вида нарушения требований и порядка применения ККМ в Акт контрольного закупа вносятся следующие записи: «неприменение ККМ», «непробитие чека», «невыдача чека», «неисправная ККМ» и информация о приложении акта снятия наличных денежных средств в кассе.</w:t>
      </w:r>
    </w:p>
    <w:p>
      <w:pPr>
        <w:spacing w:after="120"/>
        <w:ind w:firstLine="709"/>
        <w:jc w:val="both"/>
      </w:pPr>
      <w:r>
        <w:rPr>
          <w:rFonts w:ascii="Arial" w:cs="Arial" w:eastAsia="Arial" w:hAnsi="Arial"/>
          <w:sz w:val="24"/>
          <w:szCs w:val="24"/>
        </w:rPr>
        <w:t xml:space="preserve">23. На основании установленных нарушений сотрудник составляет протокол в соответствии с Кодексом Кыргызской Республики о правонарушениях с указанием конкретного вида правонарушения, которое подписывается сотрудником и субъектом или его ответственным лицом.</w:t>
      </w:r>
    </w:p>
    <w:p>
      <w:pPr>
        <w:spacing w:after="120"/>
        <w:ind w:firstLine="709"/>
        <w:jc w:val="both"/>
      </w:pPr>
      <w:r>
        <w:rPr>
          <w:rFonts w:ascii="Arial" w:cs="Arial" w:eastAsia="Arial" w:hAnsi="Arial"/>
          <w:sz w:val="24"/>
          <w:szCs w:val="24"/>
        </w:rPr>
        <w:t xml:space="preserve">В случае отказа от подписания протокола субъектом или его ответственным лицом в протоколе производится отметка «с фактом правонарушения не согласен» с отражением данных субъекта, указанных в информационной системе уполномоченного налогового органа, и вручается субъекту или его ответственному лицу вместе с извещением о назначении времени и места рассмотрения дела о правонарушении. При невозможности вручения субъекту или его ответственному лицу составленного протокола и извещения материалы направляется по почте. Составленные материалы контрольного закупа сотрудник передает в комиссию по рассмотрению дел о правонарушениях.</w:t>
      </w:r>
    </w:p>
    <w:p>
      <w:pPr>
        <w:spacing w:after="120"/>
        <w:ind w:firstLine="709"/>
        <w:jc w:val="both"/>
      </w:pPr>
      <w:r>
        <w:rPr>
          <w:rFonts w:ascii="Arial" w:cs="Arial" w:eastAsia="Arial" w:hAnsi="Arial"/>
          <w:sz w:val="24"/>
          <w:szCs w:val="24"/>
        </w:rPr>
        <w:t xml:space="preserve">24. При неисправности ККМ учет покупок и продаж субъектом ведется в книге учета бланков квитанций, за исключением лиц, ведущих учет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sz w:val="24"/>
          <w:szCs w:val="24"/>
        </w:rPr>
        <w:t xml:space="preserve">В случае неприменения бланков квитанций и книги учета бланков квитанций на момент неисправности ККМ в акте контрольного закупа указывается соответствующая запись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25. При использовании ПСУ, а также при безналичном расчете помимо х-отчета, субъект обязан предоставить сотруднику промежуточный отчет, формируемый посредством ПСУ, промежуточный чек, формируемый инструментами безналичной оплаты, по уплаченным суммам посредством таких инструментов для сличения безналичных денежных средств по отношению к х-отчету.</w:t>
      </w:r>
    </w:p>
    <w:p>
      <w:pPr>
        <w:spacing w:after="120"/>
        <w:ind w:firstLine="709"/>
        <w:jc w:val="both"/>
      </w:pPr>
      <w:r>
        <w:rPr>
          <w:rFonts w:ascii="Arial" w:cs="Arial" w:eastAsia="Arial" w:hAnsi="Arial"/>
          <w:sz w:val="24"/>
          <w:szCs w:val="24"/>
        </w:rPr>
        <w:t xml:space="preserve">26. В случае отказа субъекта или его ответственного лица в предоставлении сотруднику х-отчета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 в акте контрольного закупа указывается информация об отказе в предоставлении х-отчета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 При этом составляется акт воспрепятствования по форме, утверждаемой уполномоченным налоговым органом, в котором указывается факт неисполнения законных требований сотрудника, выраженный непредоставлением х-отчета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ответственным лицом с указанием данных этого лица. В случае отказа субъекта или ответственного лица от подписания акта воспрепятствования, сотрудником производится фотовидеофиксация и в акте воспрепятствования вносится запись «от подписания акта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На основании данного акта составляется протокол в соответствии с Кодексом Кыргызской Республики о правонарушениях по факту воспрепятствования работникам органов налоговой службы в доступе к ККМ и программным средствам учета товаров.</w:t>
      </w:r>
    </w:p>
    <w:p>
      <w:pPr>
        <w:spacing w:after="120"/>
        <w:ind w:firstLine="709"/>
        <w:jc w:val="both"/>
      </w:pPr>
      <w:r>
        <w:rPr>
          <w:rFonts w:ascii="Arial" w:cs="Arial" w:eastAsia="Arial" w:hAnsi="Arial"/>
          <w:sz w:val="24"/>
          <w:szCs w:val="24"/>
        </w:rPr>
        <w:t xml:space="preserve">В случае отказа от подписания протокола субъектом или его ответственным лицом в протоколе производится отметка «с фактом правонарушения не согласен» с отражением данных субъекта, указанных в информационной системе уполномоченного налогового органа, и вручается субъекту или его ответственному лицу вместе с извещением о назначении времени и места рассмотрения дела о правонарушении. При невозможности вручения субъекту или его ответственному лицу составленного протокола и извещения материалы направляются по почте. Составленные материалы контрольного закупа сотрудник передает в комиссию по рассмотрению дел о правонарушениях.</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Оформление и рассмотрение результатов контрольного закупа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После снятия остатков наличных денежных средств сотрудник оформляет акт контрольного закупа, оформленный по форме, утверждаемой уполномоченным налоговым органом, где в обязательном порядке указываются:</w:t>
      </w:r>
    </w:p>
    <w:p>
      <w:pPr>
        <w:spacing w:after="120"/>
        <w:ind w:firstLine="709"/>
        <w:jc w:val="both"/>
      </w:pPr>
      <w:r>
        <w:rPr>
          <w:rFonts w:ascii="Arial" w:cs="Arial" w:eastAsia="Arial" w:hAnsi="Arial"/>
          <w:sz w:val="24"/>
          <w:szCs w:val="24"/>
        </w:rPr>
        <w:t xml:space="preserve">1) дата, место, время начала проведения контрольного закупа;</w:t>
      </w:r>
    </w:p>
    <w:p>
      <w:pPr>
        <w:spacing w:after="120"/>
        <w:ind w:firstLine="709"/>
        <w:jc w:val="both"/>
      </w:pPr>
      <w:r>
        <w:rPr>
          <w:rFonts w:ascii="Arial" w:cs="Arial" w:eastAsia="Arial" w:hAnsi="Arial"/>
          <w:sz w:val="24"/>
          <w:szCs w:val="24"/>
        </w:rPr>
        <w:t xml:space="preserve">2) Ф.И.О. и должность сотрудника;</w:t>
      </w:r>
    </w:p>
    <w:p>
      <w:pPr>
        <w:spacing w:after="120"/>
        <w:ind w:firstLine="709"/>
        <w:jc w:val="both"/>
      </w:pPr>
      <w:r>
        <w:rPr>
          <w:rFonts w:ascii="Arial" w:cs="Arial" w:eastAsia="Arial" w:hAnsi="Arial"/>
          <w:sz w:val="24"/>
          <w:szCs w:val="24"/>
        </w:rPr>
        <w:t xml:space="preserve">3) номер и дата предписания;</w:t>
      </w:r>
    </w:p>
    <w:p>
      <w:pPr>
        <w:spacing w:after="120"/>
        <w:ind w:firstLine="709"/>
        <w:jc w:val="both"/>
      </w:pPr>
      <w:r>
        <w:rPr>
          <w:rFonts w:ascii="Arial" w:cs="Arial" w:eastAsia="Arial" w:hAnsi="Arial"/>
          <w:sz w:val="24"/>
          <w:szCs w:val="24"/>
        </w:rPr>
        <w:t xml:space="preserve">4)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5) Ф.И.О. субъекта, присутствовавшего на момент контроля, занимаемая должность, контактный номер телефона и адрес места его жительства;</w:t>
      </w:r>
    </w:p>
    <w:p>
      <w:pPr>
        <w:spacing w:after="120"/>
        <w:ind w:firstLine="709"/>
        <w:jc w:val="both"/>
      </w:pPr>
      <w:r>
        <w:rPr>
          <w:rFonts w:ascii="Arial" w:cs="Arial" w:eastAsia="Arial" w:hAnsi="Arial"/>
          <w:sz w:val="24"/>
          <w:szCs w:val="24"/>
        </w:rPr>
        <w:t xml:space="preserve">6) наименование и адрес объекта предпринимательства;</w:t>
      </w:r>
    </w:p>
    <w:p>
      <w:pPr>
        <w:spacing w:after="120"/>
        <w:ind w:firstLine="709"/>
        <w:jc w:val="both"/>
      </w:pPr>
      <w:r>
        <w:rPr>
          <w:rFonts w:ascii="Arial" w:cs="Arial" w:eastAsia="Arial" w:hAnsi="Arial"/>
          <w:sz w:val="24"/>
          <w:szCs w:val="24"/>
        </w:rPr>
        <w:t xml:space="preserve">7) вид деятельности;</w:t>
      </w:r>
    </w:p>
    <w:p>
      <w:pPr>
        <w:spacing w:after="120"/>
        <w:ind w:firstLine="709"/>
        <w:jc w:val="both"/>
      </w:pPr>
      <w:r>
        <w:rPr>
          <w:rFonts w:ascii="Arial" w:cs="Arial" w:eastAsia="Arial" w:hAnsi="Arial"/>
          <w:sz w:val="24"/>
          <w:szCs w:val="24"/>
        </w:rPr>
        <w:t xml:space="preserve">8) наименование и ИНН субъекта;</w:t>
      </w:r>
    </w:p>
    <w:p>
      <w:pPr>
        <w:spacing w:after="120"/>
        <w:ind w:firstLine="709"/>
        <w:jc w:val="both"/>
      </w:pPr>
      <w:r>
        <w:rPr>
          <w:rFonts w:ascii="Arial" w:cs="Arial" w:eastAsia="Arial" w:hAnsi="Arial"/>
          <w:sz w:val="24"/>
          <w:szCs w:val="24"/>
        </w:rPr>
        <w:t xml:space="preserve">9) наименование налогового органа, где зарегистрирован субъект;</w:t>
      </w:r>
    </w:p>
    <w:p>
      <w:pPr>
        <w:spacing w:after="120"/>
        <w:ind w:firstLine="709"/>
        <w:jc w:val="both"/>
      </w:pPr>
      <w:r>
        <w:rPr>
          <w:rFonts w:ascii="Arial" w:cs="Arial" w:eastAsia="Arial" w:hAnsi="Arial"/>
          <w:sz w:val="24"/>
          <w:szCs w:val="24"/>
        </w:rPr>
        <w:t xml:space="preserve">10) наличие документа, подтверждающего факт работы реализатора (кассира), с указанием Ф.И.О., ИНН и занимаемой должности;</w:t>
      </w:r>
    </w:p>
    <w:p>
      <w:pPr>
        <w:spacing w:after="120"/>
        <w:ind w:firstLine="709"/>
        <w:jc w:val="both"/>
      </w:pPr>
      <w:r>
        <w:rPr>
          <w:rFonts w:ascii="Arial" w:cs="Arial" w:eastAsia="Arial" w:hAnsi="Arial"/>
          <w:sz w:val="24"/>
          <w:szCs w:val="24"/>
        </w:rPr>
        <w:t xml:space="preserve">11) наличие книги инспекторских проверок;</w:t>
      </w:r>
    </w:p>
    <w:p>
      <w:pPr>
        <w:spacing w:after="120"/>
        <w:ind w:firstLine="709"/>
        <w:jc w:val="both"/>
      </w:pPr>
      <w:r>
        <w:rPr>
          <w:rFonts w:ascii="Arial" w:cs="Arial" w:eastAsia="Arial" w:hAnsi="Arial"/>
          <w:sz w:val="24"/>
          <w:szCs w:val="24"/>
        </w:rPr>
        <w:t xml:space="preserve">12) наличие ценников (прейскурантов, меню);</w:t>
      </w:r>
    </w:p>
    <w:p>
      <w:pPr>
        <w:spacing w:after="120"/>
        <w:ind w:firstLine="709"/>
        <w:jc w:val="both"/>
      </w:pPr>
      <w:r>
        <w:rPr>
          <w:rFonts w:ascii="Arial" w:cs="Arial" w:eastAsia="Arial" w:hAnsi="Arial"/>
          <w:sz w:val="24"/>
          <w:szCs w:val="24"/>
        </w:rPr>
        <w:t xml:space="preserve">13) наличие информации о необходимости требования контрольно-кассового чека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14) наименование, цена, количество и сумма закупленного товара (услуг);</w:t>
      </w:r>
    </w:p>
    <w:p>
      <w:pPr>
        <w:spacing w:after="120"/>
        <w:ind w:firstLine="709"/>
        <w:jc w:val="both"/>
      </w:pPr>
      <w:r>
        <w:rPr>
          <w:rFonts w:ascii="Arial" w:cs="Arial" w:eastAsia="Arial" w:hAnsi="Arial"/>
          <w:sz w:val="24"/>
          <w:szCs w:val="24"/>
        </w:rPr>
        <w:t xml:space="preserve">15) регистрационные данные ККМ;</w:t>
      </w:r>
    </w:p>
    <w:p>
      <w:pPr>
        <w:spacing w:after="120"/>
        <w:ind w:firstLine="709"/>
        <w:jc w:val="both"/>
      </w:pPr>
      <w:r>
        <w:rPr>
          <w:rFonts w:ascii="Arial" w:cs="Arial" w:eastAsia="Arial" w:hAnsi="Arial"/>
          <w:sz w:val="24"/>
          <w:szCs w:val="24"/>
        </w:rPr>
        <w:t xml:space="preserve">16) информация о результате контрольного закупа;</w:t>
      </w:r>
    </w:p>
    <w:p>
      <w:pPr>
        <w:spacing w:after="120"/>
        <w:ind w:firstLine="709"/>
        <w:jc w:val="both"/>
      </w:pPr>
      <w:r>
        <w:rPr>
          <w:rFonts w:ascii="Arial" w:cs="Arial" w:eastAsia="Arial" w:hAnsi="Arial"/>
          <w:sz w:val="24"/>
          <w:szCs w:val="24"/>
        </w:rPr>
        <w:t xml:space="preserve">17) сумма наличной выручки в кассе согласно акту снятия наличных денежных средств;</w:t>
      </w:r>
    </w:p>
    <w:p>
      <w:pPr>
        <w:spacing w:after="120"/>
        <w:ind w:firstLine="709"/>
        <w:jc w:val="both"/>
      </w:pPr>
      <w:r>
        <w:rPr>
          <w:rFonts w:ascii="Arial" w:cs="Arial" w:eastAsia="Arial" w:hAnsi="Arial"/>
          <w:sz w:val="24"/>
          <w:szCs w:val="24"/>
        </w:rPr>
        <w:t xml:space="preserve">18) сумма, указанная в х-отчете, сам х-отчет прикладывается к акту контрольного закупа;</w:t>
      </w:r>
    </w:p>
    <w:p>
      <w:pPr>
        <w:spacing w:after="120"/>
        <w:ind w:firstLine="709"/>
        <w:jc w:val="both"/>
      </w:pPr>
      <w:r>
        <w:rPr>
          <w:rFonts w:ascii="Arial" w:cs="Arial" w:eastAsia="Arial" w:hAnsi="Arial"/>
          <w:sz w:val="24"/>
          <w:szCs w:val="24"/>
        </w:rPr>
        <w:t xml:space="preserve">19) сумма, указанная в промежуточном отчете посредством программных средств учета товаров, работ и услуг, сам промежуточный отчет прикладывается к акту контрольного закупа.</w:t>
      </w:r>
    </w:p>
    <w:p>
      <w:pPr>
        <w:spacing w:after="120"/>
        <w:ind w:firstLine="709"/>
        <w:jc w:val="both"/>
      </w:pPr>
      <w:r>
        <w:rPr>
          <w:rFonts w:ascii="Arial" w:cs="Arial" w:eastAsia="Arial" w:hAnsi="Arial"/>
          <w:sz w:val="24"/>
          <w:szCs w:val="24"/>
        </w:rPr>
        <w:t xml:space="preserve">28. Акт контрольного закупа и приложения к нему могут быть оформлены как в бумажной, так и в электронной форме на соответствующем носителе. Оформленный в бумажной форме акт контрольного закупа подписывается сотрудником и субъектом или ответственным лицом субъекта, при оформлении акта в электронной форме сотрудник и субъект или его ответственное лицо используют графическую подпись.</w:t>
      </w:r>
    </w:p>
    <w:p>
      <w:pPr>
        <w:spacing w:after="120"/>
        <w:ind w:firstLine="709"/>
        <w:jc w:val="both"/>
      </w:pPr>
      <w:r>
        <w:rPr>
          <w:rFonts w:ascii="Arial" w:cs="Arial" w:eastAsia="Arial" w:hAnsi="Arial"/>
          <w:sz w:val="24"/>
          <w:szCs w:val="24"/>
        </w:rPr>
        <w:t xml:space="preserve">29. При оформлении в бумажной форме второй экземпляр акта контрольного закупа со всеми приложениями вручается субъекту или его ответственному лицу под подпись. Если субъект или его ответственное лицо отказывается от подписания и получения акта контрольного закупа с приложениями под подпись, то в акт контрольного закупа, который подписывается сотрудником, вносится запись «от подписания акта контрольного закупа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30. При оформлении в электронной форме акт контрольного закупа со всеми приложениями направляется в личный кабинет субъекта либо на его электронный адрес или мессенджер субъекта. Если субъект отказывается от подписания и получения акта контрольного закупа под подпись графической подписью, то в электронный акт контрольного закупа вносится запись «от подписания акта контрольного закупа отказался, второй экземпляр данного акта вручен», производится фотовидеосъемка и материалы направляются в личный кабинет субъекта либо на его электронный адрес или мессенджер субъекта.</w:t>
      </w:r>
    </w:p>
    <w:p>
      <w:pPr>
        <w:spacing w:after="120"/>
        <w:ind w:firstLine="709"/>
        <w:jc w:val="both"/>
      </w:pPr>
      <w:r>
        <w:rPr>
          <w:rFonts w:ascii="Arial" w:cs="Arial" w:eastAsia="Arial" w:hAnsi="Arial"/>
          <w:sz w:val="24"/>
          <w:szCs w:val="24"/>
        </w:rPr>
        <w:t xml:space="preserve">31. В случае недопуска к проведению контрольного закупа (в том числе к снятию остатков денежных средств в кассе) сотрудник в соответствии с требованиями статей 132 и 136 Налогового кодекса Кыргызской Республики составляет акт воспрепятствования по форме, утвержденной уполномоченным налоговым органом, в бумажной или электронной форме, в котором указываются дата и место составления, Ф.И.О. и должность сотрудника, кем и каким образом было оказано воспрепятствование. Составленный акт воспрепятствования в бумажном виде подписывается сотрудником и после его ознакомления – субъектом, в электронном виде сотрудник и субъект или ответственное лицо подписываются графическим подписью. При этом у субъекта берется объяснительная, где указывается, по какой причине оказано воспрепятствование, которая прилагается к акту воспрепятствования.</w:t>
      </w:r>
    </w:p>
    <w:p>
      <w:pPr>
        <w:spacing w:after="120"/>
        <w:ind w:firstLine="709"/>
        <w:jc w:val="both"/>
      </w:pPr>
      <w:r>
        <w:rPr>
          <w:rFonts w:ascii="Arial" w:cs="Arial" w:eastAsia="Arial" w:hAnsi="Arial"/>
          <w:sz w:val="24"/>
          <w:szCs w:val="24"/>
        </w:rPr>
        <w:t xml:space="preserve">В случае отказа от подписи и/или от дачи объяснительной субъектом, сотрудником производится соответствующая запись в Акте воспрепятствования и фотовидеофиксация.</w:t>
      </w:r>
    </w:p>
    <w:p>
      <w:pPr>
        <w:spacing w:after="120"/>
        <w:ind w:firstLine="709"/>
        <w:jc w:val="both"/>
      </w:pPr>
      <w:r>
        <w:rPr>
          <w:rFonts w:ascii="Arial" w:cs="Arial" w:eastAsia="Arial" w:hAnsi="Arial"/>
          <w:sz w:val="24"/>
          <w:szCs w:val="24"/>
        </w:rPr>
        <w:t xml:space="preserve">32. Результаты контрольного закупа служат одним из оснований для определения факторов риска при формировании риск-ориентированных субъектов, подлежащих рейдовому налоговому контролю и/или установлению налогового поста.</w:t>
      </w:r>
    </w:p>
    <w:p>
      <w:pPr>
        <w:spacing w:after="120"/>
        <w:ind w:firstLine="709"/>
        <w:jc w:val="both"/>
      </w:pPr>
      <w:r>
        <w:rPr>
          <w:rFonts w:ascii="Arial" w:cs="Arial" w:eastAsia="Arial" w:hAnsi="Arial"/>
          <w:sz w:val="24"/>
          <w:szCs w:val="24"/>
        </w:rPr>
        <w:t xml:space="preserve">33. В случае выявления других нарушений сотрудник в присутствии субъекта или ответственного лица фиксирует данный факт фотовидеофиксацией и передает в налоговый орган по месту налоговой (учетной) регистрации субъекта. Соответствующий налоговый орган, получив информацию, проводит определенный налоговый контроль в соответствии с налоговым законодательством и принимает меры в соответствии с Кодексом Кыргызской Республики о правонарушениях.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8g5rjs6vkyddv33_ccpn">
      <w:r>
        <w:rPr>
          <w:rFonts w:ascii="Arial" w:cs="Arial" w:eastAsia="Arial" w:hAnsi="Arial"/>
          <w:color w:val="132D3F"/>
          <w:sz w:val="16"/>
          <w:szCs w:val="16"/>
          <w:u w:val="single"/>
        </w:rPr>
        <w:t xml:space="preserve">dalil.kg/document/159030</w:t>
      </w:r>
    </w:hyperlink>
  </w:p>
  <w:p>
    <w:pPr>
      <w:spacing w:after="0" w:before="40"/>
      <w:jc w:val="center"/>
    </w:pPr>
    <w:hyperlink w:history="1" r:id="rIdyws8viqeqoemmthexfk5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xm6mbtu2loxnw7rxpom" Type="http://schemas.openxmlformats.org/officeDocument/2006/relationships/hyperlink" Target="https://dalil.kg/document/159028" TargetMode="External"/><Relationship Id="rIdqqmfj0uamzdambh4nodad" Type="http://schemas.openxmlformats.org/officeDocument/2006/relationships/hyperlink" Target="https://dalil.kg/document/230030441" TargetMode="External"/><Relationship Id="rIdwkmhhvaptz7ynl9fufl9r" Type="http://schemas.openxmlformats.org/officeDocument/2006/relationships/hyperlink" Target="https://dalil.kg/document/112340#st_127" TargetMode="External"/><Relationship Id="rIdgiz6tbn_yihu6uu2ap-pz" Type="http://schemas.openxmlformats.org/officeDocument/2006/relationships/hyperlink" Target="https://dalil.kg/document/112340#st_129" TargetMode="External"/><Relationship Id="rIdxv9rppqy-gm73ydicoxys" Type="http://schemas.openxmlformats.org/officeDocument/2006/relationships/hyperlink" Target="https://dalil.kg/document/112340#st_13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8g5rjs6vkyddv33_ccpn" Type="http://schemas.openxmlformats.org/officeDocument/2006/relationships/hyperlink" Target="https://dalil.kg/document/159030" TargetMode="External"/><Relationship Id="rIdyws8viqeqoemmthexfk5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2026-09-23T21:40:34.763Z</dcterms:created>
  <dcterms:modified xsi:type="dcterms:W3CDTF">2026-09-23T21:40:34.763Z</dcterms:modified>
</cp:coreProperties>
</file>

<file path=docProps/custom.xml><?xml version="1.0" encoding="utf-8"?>
<Properties xmlns="http://schemas.openxmlformats.org/officeDocument/2006/custom-properties" xmlns:vt="http://schemas.openxmlformats.org/officeDocument/2006/docPropsVTypes"/>
</file>