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f-p5qo029njwpbmr-g5n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24 февраля 2022 года № 95)</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установления налогового поста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t2gg3by3xjhlqaczmd4j">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mqcl_kopuuc_b_p8kzhmu">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wrxunrogk5h0pv52jgdlq">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kdur5q-n2wymdmb0akehc">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r>
        <w:rPr>
          <w:rFonts w:ascii="Arial" w:cs="Arial" w:eastAsia="Arial" w:hAnsi="Arial"/>
          <w:sz w:val="24"/>
          <w:szCs w:val="24"/>
        </w:rPr>
        <w:t xml:space="preserve">81</w:t>
      </w:r>
      <w:r>
        <w:rPr>
          <w:rFonts w:ascii="Arial" w:cs="Arial" w:eastAsia="Arial" w:hAnsi="Arial"/>
          <w:sz w:val="24"/>
          <w:szCs w:val="24"/>
        </w:rPr>
        <w:t xml:space="preserve">, </w:t>
      </w:r>
      <w:hyperlink w:history="1" r:id="rIdehuo8v--vzuydvpoiz4nr">
        <w:r>
          <w:rPr>
            <w:rFonts w:ascii="Arial" w:cs="Arial" w:eastAsia="Arial" w:hAnsi="Arial"/>
            <w:color w:val="1D4ED8"/>
            <w:sz w:val="24"/>
            <w:szCs w:val="24"/>
            <w:u w:val="single"/>
          </w:rPr>
          <w:t xml:space="preserve">109</w:t>
        </w:r>
      </w:hyperlink>
      <w:r>
        <w:rPr>
          <w:rFonts w:ascii="Arial" w:cs="Arial" w:eastAsia="Arial" w:hAnsi="Arial"/>
          <w:sz w:val="24"/>
          <w:szCs w:val="24"/>
        </w:rPr>
        <w:t xml:space="preserve">, </w:t>
      </w:r>
      <w:hyperlink w:history="1" r:id="rIdezulw2d3s9rp3g1lfi60_">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ip0t-defuhepggbgn1gj-">
        <w:r>
          <w:rPr>
            <w:rFonts w:ascii="Arial" w:cs="Arial" w:eastAsia="Arial" w:hAnsi="Arial"/>
            <w:color w:val="1D4ED8"/>
            <w:sz w:val="24"/>
            <w:szCs w:val="24"/>
            <w:u w:val="single"/>
          </w:rPr>
          <w:t xml:space="preserve">132</w:t>
        </w:r>
      </w:hyperlink>
      <w:r>
        <w:rPr>
          <w:rFonts w:ascii="Arial" w:cs="Arial" w:eastAsia="Arial" w:hAnsi="Arial"/>
          <w:sz w:val="24"/>
          <w:szCs w:val="24"/>
        </w:rPr>
        <w:t xml:space="preserve"> и </w:t>
      </w:r>
      <w:hyperlink w:history="1" r:id="rIdwistn3dtkhtjnyu6kawsh">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(далее - субъект) и погашения налоговой задолженности.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установление налогового поста в целях полноты учета оборота товаров и денежных средств,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налоговый пост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z-отчет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о результатах налогового поста – документ, в котором оформляются результаты установления налогового поста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акт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p>
    <w:p>
      <w:pPr>
        <w:spacing w:after="120"/>
        <w:ind w:firstLine="709"/>
        <w:jc w:val="both"/>
      </w:pPr>
      <w:r>
        <w:rPr>
          <w:rFonts w:ascii="Arial" w:cs="Arial" w:eastAsia="Arial" w:hAnsi="Arial"/>
          <w:sz w:val="24"/>
          <w:szCs w:val="24"/>
        </w:rPr>
        <w:t xml:space="preserve">13) первичные учетные документы – документы, к которым относятся счет-фактура (в том числе в электронном виде), контрольно-кассовый и товарный чеки, приходный и расходный кассовые ордера, регистры налогового учета для определения налоговой базы, являющиеся документами для налогового учета, а также платежные документы, утверждаемые Национальным банком Кыргызской Республики или применяемые в банковской практике обычаями делового оборота;</w:t>
      </w:r>
    </w:p>
    <w:p>
      <w:pPr>
        <w:spacing w:after="120"/>
        <w:ind w:firstLine="709"/>
        <w:jc w:val="both"/>
      </w:pPr>
      <w:r>
        <w:rPr>
          <w:rFonts w:ascii="Arial" w:cs="Arial" w:eastAsia="Arial" w:hAnsi="Arial"/>
          <w:sz w:val="24"/>
          <w:szCs w:val="24"/>
        </w:rPr>
        <w:t xml:space="preserve">14) сомнительная акцизная марка – это акцизная марка, у которой в ходе контрольных мероприятий органом налоговой службы были выявлены несоответствия формы и дизайна, установленного уполномоченным налоговым органом, в том числе отсутствие утвержденных защитных элементов акцизной марки;</w:t>
      </w:r>
    </w:p>
    <w:p>
      <w:pPr>
        <w:spacing w:after="120"/>
        <w:ind w:firstLine="709"/>
        <w:jc w:val="both"/>
      </w:pPr>
      <w:r>
        <w:rPr>
          <w:rFonts w:ascii="Arial" w:cs="Arial" w:eastAsia="Arial" w:hAnsi="Arial"/>
          <w:sz w:val="24"/>
          <w:szCs w:val="24"/>
        </w:rPr>
        <w:t xml:space="preserve">3. Налоговый пост устанавливается на объекте имущества и/или территории осуществления экономической деятельности субъекта:</w:t>
      </w:r>
    </w:p>
    <w:p>
      <w:pPr>
        <w:spacing w:after="120"/>
        <w:ind w:firstLine="709"/>
        <w:jc w:val="both"/>
      </w:pPr>
      <w:r>
        <w:rPr>
          <w:rFonts w:ascii="Arial" w:cs="Arial" w:eastAsia="Arial" w:hAnsi="Arial"/>
          <w:sz w:val="24"/>
          <w:szCs w:val="24"/>
        </w:rPr>
        <w:t xml:space="preserve">1) производящего подакцизный товар:</w:t>
      </w:r>
    </w:p>
    <w:p>
      <w:pPr>
        <w:spacing w:after="120"/>
        <w:ind w:firstLine="709"/>
        <w:jc w:val="both"/>
      </w:pP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ind w:firstLine="709"/>
        <w:jc w:val="both"/>
      </w:pP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ind w:firstLine="709"/>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ind w:firstLine="709"/>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ind w:firstLine="709"/>
        <w:jc w:val="both"/>
      </w:pPr>
      <w:r>
        <w:rPr>
          <w:rFonts w:ascii="Arial" w:cs="Arial" w:eastAsia="Arial" w:hAnsi="Arial"/>
          <w:sz w:val="24"/>
          <w:szCs w:val="24"/>
        </w:rPr>
        <w:t xml:space="preserve">2) имеющего налоговую задолженность – до полного погашения налоговой задолженности;</w:t>
      </w:r>
    </w:p>
    <w:p>
      <w:pPr>
        <w:spacing w:after="120"/>
        <w:ind w:firstLine="709"/>
        <w:jc w:val="both"/>
      </w:pPr>
      <w:r>
        <w:rPr>
          <w:rFonts w:ascii="Arial" w:cs="Arial" w:eastAsia="Arial" w:hAnsi="Arial"/>
          <w:sz w:val="24"/>
          <w:szCs w:val="24"/>
        </w:rPr>
        <w:t xml:space="preserve">3) систематически представляющего налоговые отчеты с нулевыми показателями и/или не предоставляющие отчеты –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осуществляющего деятельность в сфере общественного питания, торговли, услуг и в курортно-оздоровительной сфере с установлением налогового поста – на срок не менее семи календарных дней, следующих подряд, за исключением налогового поста на местах организации концертно-зрелищных мероприятий;</w:t>
      </w:r>
    </w:p>
    <w:p>
      <w:pPr>
        <w:spacing w:after="120"/>
        <w:ind w:firstLine="709"/>
        <w:jc w:val="both"/>
      </w:pPr>
      <w:r>
        <w:rPr>
          <w:rFonts w:ascii="Arial" w:cs="Arial" w:eastAsia="Arial" w:hAnsi="Arial"/>
          <w:sz w:val="24"/>
          <w:szCs w:val="24"/>
        </w:rPr>
        <w:t xml:space="preserve">5) осуществляющего деятельность в сфере производства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6) осуществляющего добычу полезных ископаемых в зависимости от сезонного характера ведения экономической деятельности –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Налоговый пост устанавливается в режиме работы субъекта.</w:t>
      </w:r>
    </w:p>
    <w:p>
      <w:pPr>
        <w:spacing w:after="120"/>
        <w:ind w:firstLine="709"/>
        <w:jc w:val="both"/>
      </w:pPr>
      <w:r>
        <w:rPr>
          <w:rFonts w:ascii="Arial" w:cs="Arial" w:eastAsia="Arial" w:hAnsi="Arial"/>
          <w:sz w:val="24"/>
          <w:szCs w:val="24"/>
        </w:rPr>
        <w:t xml:space="preserve">5. Результаты налогового поста отражаются в акте о результатах налогового поста и могут быть использованы для проведения соответствующего налогового контроля и/или налоговой проверки.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оформления налогового поста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Перечень субъектов, у которых устанавливается налоговый пост, определяется и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7. Налоговый пост устанавливается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Предписание на право установления налогового поста оформляется посредством информационной системы уполномоченного налогового органа.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возможно распечатывание предписания в бумажной форме, подлинность которого можно проверить QR-кодом.</w:t>
      </w:r>
    </w:p>
    <w:p>
      <w:pPr>
        <w:spacing w:after="120"/>
        <w:ind w:firstLine="709"/>
        <w:jc w:val="both"/>
      </w:pPr>
      <w:r>
        <w:rPr>
          <w:rFonts w:ascii="Arial" w:cs="Arial" w:eastAsia="Arial" w:hAnsi="Arial"/>
          <w:sz w:val="24"/>
          <w:szCs w:val="24"/>
        </w:rPr>
        <w:t xml:space="preserve">8. В предписании содержатся следующие сведения:</w:t>
      </w:r>
    </w:p>
    <w:p>
      <w:pPr>
        <w:spacing w:after="120"/>
        <w:ind w:firstLine="709"/>
        <w:jc w:val="both"/>
      </w:pPr>
      <w:r>
        <w:rPr>
          <w:rFonts w:ascii="Arial" w:cs="Arial" w:eastAsia="Arial" w:hAnsi="Arial"/>
          <w:sz w:val="24"/>
          <w:szCs w:val="24"/>
        </w:rPr>
        <w:t xml:space="preserve">1) номер регистрации предписания в органе налоговой службы;</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Ф.И.О., номер служебного удостоверения должностного лица органа налоговой службы (далее – сотрудник), которому поручено установить налоговый пост;</w:t>
      </w:r>
    </w:p>
    <w:p>
      <w:pPr>
        <w:spacing w:after="120"/>
        <w:ind w:firstLine="709"/>
        <w:jc w:val="both"/>
      </w:pPr>
      <w:r>
        <w:rPr>
          <w:rFonts w:ascii="Arial" w:cs="Arial" w:eastAsia="Arial" w:hAnsi="Arial"/>
          <w:sz w:val="24"/>
          <w:szCs w:val="24"/>
        </w:rPr>
        <w:t xml:space="preserve">4) полное наименование субъекта, у которого устанавливается налоговый пост;</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установления налогового поста;</w:t>
      </w:r>
    </w:p>
    <w:p>
      <w:pPr>
        <w:spacing w:after="120"/>
        <w:ind w:firstLine="709"/>
        <w:jc w:val="both"/>
      </w:pPr>
      <w:r>
        <w:rPr>
          <w:rFonts w:ascii="Arial" w:cs="Arial" w:eastAsia="Arial" w:hAnsi="Arial"/>
          <w:sz w:val="24"/>
          <w:szCs w:val="24"/>
        </w:rPr>
        <w:t xml:space="preserve">7) срок (период) установления налогового поста;</w:t>
      </w:r>
    </w:p>
    <w:p>
      <w:pPr>
        <w:spacing w:after="120"/>
        <w:ind w:firstLine="709"/>
        <w:jc w:val="both"/>
      </w:pPr>
      <w:r>
        <w:rPr>
          <w:rFonts w:ascii="Arial" w:cs="Arial" w:eastAsia="Arial" w:hAnsi="Arial"/>
          <w:sz w:val="24"/>
          <w:szCs w:val="24"/>
        </w:rPr>
        <w:t xml:space="preserve">8) ФИО руководителя органа налоговой службы, подтвердившего данное предписание;</w:t>
      </w:r>
    </w:p>
    <w:p>
      <w:pPr>
        <w:spacing w:after="120"/>
        <w:ind w:firstLine="709"/>
        <w:jc w:val="both"/>
      </w:pPr>
      <w:r>
        <w:rPr>
          <w:rFonts w:ascii="Arial" w:cs="Arial" w:eastAsia="Arial" w:hAnsi="Arial"/>
          <w:sz w:val="24"/>
          <w:szCs w:val="24"/>
        </w:rPr>
        <w:t xml:space="preserve">9) дата выдачи предписания.</w:t>
      </w:r>
    </w:p>
    <w:p>
      <w:pPr>
        <w:spacing w:after="120"/>
        <w:ind w:firstLine="709"/>
        <w:jc w:val="both"/>
      </w:pPr>
      <w:r>
        <w:rPr>
          <w:rFonts w:ascii="Arial" w:cs="Arial" w:eastAsia="Arial" w:hAnsi="Arial"/>
          <w:sz w:val="24"/>
          <w:szCs w:val="24"/>
        </w:rPr>
        <w:t xml:space="preserve">9. При продлении срока действия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10. При установлении налогового поста сотрудником по прибытию на местонахождение субъекта и/или объекта имущества, используемого в предпринимательской деятельности, на ознакомление субъекту предъявляется:</w:t>
      </w:r>
    </w:p>
    <w:p>
      <w:pPr>
        <w:spacing w:after="120"/>
        <w:ind w:firstLine="709"/>
        <w:jc w:val="both"/>
      </w:pPr>
      <w:r>
        <w:rPr>
          <w:rFonts w:ascii="Arial" w:cs="Arial" w:eastAsia="Arial" w:hAnsi="Arial"/>
          <w:sz w:val="24"/>
          <w:szCs w:val="24"/>
        </w:rPr>
        <w:t xml:space="preserve">1) служебное удостоверение сотрудника, указанного в предписании, в твердом или в электронном виде;</w:t>
      </w:r>
    </w:p>
    <w:p>
      <w:pPr>
        <w:spacing w:after="120"/>
        <w:ind w:firstLine="709"/>
        <w:jc w:val="both"/>
      </w:pPr>
      <w:r>
        <w:rPr>
          <w:rFonts w:ascii="Arial" w:cs="Arial" w:eastAsia="Arial" w:hAnsi="Arial"/>
          <w:sz w:val="24"/>
          <w:szCs w:val="24"/>
        </w:rPr>
        <w:t xml:space="preserve">2) предписание в электронной форме на соответствующем носителе для ознакомления и проставления графической подписи или предписание в бумажной форме для ознакомления и проставления подписи на обратной стороне.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11. В случае отказа субъекта от ознакомления в предписание вносится запись «от ознакомления отказался».</w:t>
      </w:r>
    </w:p>
    <w:p>
      <w:pPr>
        <w:spacing w:after="120"/>
        <w:ind w:firstLine="709"/>
        <w:jc w:val="both"/>
      </w:pPr>
      <w:r>
        <w:rPr>
          <w:rFonts w:ascii="Arial" w:cs="Arial" w:eastAsia="Arial" w:hAnsi="Arial"/>
          <w:sz w:val="24"/>
          <w:szCs w:val="24"/>
        </w:rPr>
        <w:t xml:space="preserve">Отказ от ознакомления с предписанием не является препятствием для установления налогового поста.</w:t>
      </w:r>
    </w:p>
    <w:p>
      <w:pPr>
        <w:spacing w:after="120"/>
        <w:ind w:firstLine="709"/>
        <w:jc w:val="both"/>
      </w:pPr>
      <w:r>
        <w:rPr>
          <w:rFonts w:ascii="Arial" w:cs="Arial" w:eastAsia="Arial" w:hAnsi="Arial"/>
          <w:sz w:val="24"/>
          <w:szCs w:val="24"/>
        </w:rPr>
        <w:t xml:space="preserve">12. После ознакомления с предписанием субъект обязан выполнять законные требования сотрудника по вопросам, указанным в предписании.</w:t>
      </w:r>
    </w:p>
    <w:p>
      <w:pPr>
        <w:spacing w:after="120"/>
        <w:ind w:firstLine="709"/>
        <w:jc w:val="both"/>
      </w:pPr>
      <w:r>
        <w:rPr>
          <w:rFonts w:ascii="Arial" w:cs="Arial" w:eastAsia="Arial" w:hAnsi="Arial"/>
          <w:sz w:val="24"/>
          <w:szCs w:val="24"/>
        </w:rPr>
        <w:t xml:space="preserve">В случае воспрепятствования допуску сотрудника на территорию или в административные, производственные, складские и иные помещения и/или при опечатывании (распечатывании) их, к фискальным программным средствам учета товаров, работ и услуг,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в произведении фотовидеофиксации помещений и/или отказа от предоставления соответствующих документов, отчета от фискального программного средства учета товаров, работ и услуг и/или от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сотрудником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его ответственным лицом, выполняющим определенные действия в интересах субъекта, с указанием данных этого лица. В случае отказа субъекта или его ответственного лица от подписания акта воспрепятствования, то сотрудник производит фотовидеофиксацию и в акт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w:t>
      </w:r>
      <w:hyperlink w:history="1" r:id="rIdyqcr6ricd2drmxowrx_y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13. На каждый составленный акт воспрепятствования сотрудник оформляет протокол в соответствии с </w:t>
      </w:r>
      <w:hyperlink w:history="1" r:id="rIdu0mpyrxiloo_nmyeuyz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субъекта или его ответственного лица от подписания оформленного протокола, сотрудник в протоколе вносит запись «от подписи отказался, второй экземпляр протокола вручен» и вручается субъекту или его ответственному лицу вместе с извещением о назначении времени и места рассмотрения дела о правонарушении (либо протокол с извещением направляется по почте). Составленные материалы дела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14. Полученные данные по результатам установленного налогового поста служат основанием для применения косвенных методов расчета налоговых обязательств и проведения налогового контроля.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Установление налогового поста у субъектов, осуществляющих деятельность в сфере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Налоговый пост у субъектов, осуществляющих деятельность в сфере производства, устанавливается в соответствии с настоящим Порядком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16. К рискам по несоблюдению требований налогового законодательства относятся:</w:t>
      </w:r>
    </w:p>
    <w:p>
      <w:pPr>
        <w:spacing w:after="120"/>
        <w:ind w:firstLine="709"/>
        <w:jc w:val="both"/>
      </w:pPr>
      <w:r>
        <w:rPr>
          <w:rFonts w:ascii="Arial" w:cs="Arial" w:eastAsia="Arial" w:hAnsi="Arial"/>
          <w:sz w:val="24"/>
          <w:szCs w:val="24"/>
        </w:rPr>
        <w:t xml:space="preserve">– риски, определенные в соответствии с методикой, установленной </w:t>
      </w:r>
      <w:hyperlink w:history="1" r:id="rIdyr0n26qtlkhv6dmfyi03a">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Налогового кодекса Кыргызской Республики;</w:t>
      </w:r>
    </w:p>
    <w:p>
      <w:pPr>
        <w:spacing w:after="120"/>
        <w:ind w:firstLine="709"/>
        <w:jc w:val="both"/>
      </w:pPr>
      <w:r>
        <w:rPr>
          <w:rFonts w:ascii="Arial" w:cs="Arial" w:eastAsia="Arial" w:hAnsi="Arial"/>
          <w:sz w:val="24"/>
          <w:szCs w:val="24"/>
        </w:rPr>
        <w:t xml:space="preserve">– несоответствие сведений об объемах приобретенного сырья со сведениями об объемах произведенной продукции, установленное в результате анализа электронных счетов-фактур, электронных товаротранспортных накладных и других документов, в том числе полученных от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Установление налогового поста у субъектов, систематически представляющих налоговый отчет с нулевыми показателями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Налоговый пост у субъектов, систематически представляющих налоговый отчет с нулевыми показателями, устанавливается в случаях представления налоговых отчетов с нулевыми показателями:</w:t>
      </w:r>
    </w:p>
    <w:p>
      <w:pPr>
        <w:spacing w:after="120"/>
        <w:ind w:firstLine="709"/>
        <w:jc w:val="both"/>
      </w:pPr>
      <w:r>
        <w:rPr>
          <w:rFonts w:ascii="Arial" w:cs="Arial" w:eastAsia="Arial" w:hAnsi="Arial"/>
          <w:sz w:val="24"/>
          <w:szCs w:val="24"/>
        </w:rPr>
        <w:t xml:space="preserve">– два и более отчетных периодов подряд субъектом, ранее представляющим налоговые отчеты с показателями;</w:t>
      </w:r>
    </w:p>
    <w:p>
      <w:pPr>
        <w:spacing w:after="120"/>
        <w:ind w:firstLine="709"/>
        <w:jc w:val="both"/>
      </w:pPr>
      <w:r>
        <w:rPr>
          <w:rFonts w:ascii="Arial" w:cs="Arial" w:eastAsia="Arial" w:hAnsi="Arial"/>
          <w:sz w:val="24"/>
          <w:szCs w:val="24"/>
        </w:rPr>
        <w:t xml:space="preserve">– вновь зарегистрированным субъектом пять и более отчетных периодов подряд.</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Установление налогового поста у субъектов, осуществляющих деятельность в сфере общественного питания, торговли, услуг и в курортно-оздоровительной сфере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Налоговый пост у субъектов, осуществляющих деятельность в сфере общественного питания, торговли, услуг и в курортно-оздоровительной сфере, устанавливается при:</w:t>
      </w:r>
    </w:p>
    <w:p>
      <w:pPr>
        <w:spacing w:after="120"/>
        <w:ind w:firstLine="709"/>
        <w:jc w:val="both"/>
      </w:pPr>
      <w:r>
        <w:rPr>
          <w:rFonts w:ascii="Arial" w:cs="Arial" w:eastAsia="Arial" w:hAnsi="Arial"/>
          <w:sz w:val="24"/>
          <w:szCs w:val="24"/>
        </w:rPr>
        <w:t xml:space="preserve">– выявлении нарушения требований налогового законодательства Кыргызской Республики по результатам проведенного рейдового налогового контроля;</w:t>
      </w:r>
    </w:p>
    <w:p>
      <w:pPr>
        <w:spacing w:after="120"/>
        <w:ind w:firstLine="709"/>
        <w:jc w:val="both"/>
      </w:pPr>
      <w:r>
        <w:rPr>
          <w:rFonts w:ascii="Arial" w:cs="Arial" w:eastAsia="Arial" w:hAnsi="Arial"/>
          <w:sz w:val="24"/>
          <w:szCs w:val="24"/>
        </w:rPr>
        <w:t xml:space="preserve">– снижении объема выручки и/или суммы начисленного налога (за исключением суммы местного налога), подлежащего уплате в бюджет, более чем на 10 % по сравнению с предыдущим месяцем и/или кварталом, и/или с аналогичным периодом прошлого года;</w:t>
      </w:r>
    </w:p>
    <w:p>
      <w:pPr>
        <w:spacing w:after="120"/>
        <w:ind w:firstLine="709"/>
        <w:jc w:val="both"/>
      </w:pPr>
      <w:r>
        <w:rPr>
          <w:rFonts w:ascii="Arial" w:cs="Arial" w:eastAsia="Arial" w:hAnsi="Arial"/>
          <w:sz w:val="24"/>
          <w:szCs w:val="24"/>
        </w:rPr>
        <w:t xml:space="preserve">– обнаружении факта нарушения требований порядка применения контрольно-кассовых машин (далее – ККМ) по результатам контрольного закупа;</w:t>
      </w:r>
    </w:p>
    <w:p>
      <w:pPr>
        <w:spacing w:after="120"/>
        <w:ind w:firstLine="709"/>
        <w:jc w:val="both"/>
      </w:pPr>
      <w:r>
        <w:rPr>
          <w:rFonts w:ascii="Arial" w:cs="Arial" w:eastAsia="Arial" w:hAnsi="Arial"/>
          <w:sz w:val="24"/>
          <w:szCs w:val="24"/>
        </w:rPr>
        <w:t xml:space="preserve">– изменении физического показателя (количество посадочных мест, кресел, койко-мест, создание дополнительного объекта услуг, изменение площади объекта имущества, используемого в предпринимательской деятельности и т.п.) субъекта предпринимательства, связанного с налогообложением;</w:t>
      </w:r>
    </w:p>
    <w:p>
      <w:pPr>
        <w:spacing w:after="120"/>
        <w:ind w:firstLine="709"/>
        <w:jc w:val="both"/>
      </w:pPr>
      <w:r>
        <w:rPr>
          <w:rFonts w:ascii="Arial" w:cs="Arial" w:eastAsia="Arial" w:hAnsi="Arial"/>
          <w:sz w:val="24"/>
          <w:szCs w:val="24"/>
        </w:rPr>
        <w:t xml:space="preserve">– выявлении факторов риска несоблюдения требований налогового законодательства, а также на основании рисков, сформированных в автоматизированной системе уполномоченного налогового органа;</w:t>
      </w:r>
    </w:p>
    <w:p>
      <w:pPr>
        <w:spacing w:after="120"/>
        <w:ind w:firstLine="709"/>
        <w:jc w:val="both"/>
      </w:pPr>
      <w:r>
        <w:rPr>
          <w:rFonts w:ascii="Arial" w:cs="Arial" w:eastAsia="Arial" w:hAnsi="Arial"/>
          <w:sz w:val="24"/>
          <w:szCs w:val="24"/>
        </w:rPr>
        <w:t xml:space="preserve">– получении органом налоговой службы заявлений и жалоб от физических лиц и субъектов предпринимательства;</w:t>
      </w:r>
    </w:p>
    <w:p>
      <w:pPr>
        <w:spacing w:after="120"/>
        <w:ind w:firstLine="709"/>
        <w:jc w:val="both"/>
      </w:pPr>
      <w:r>
        <w:rPr>
          <w:rFonts w:ascii="Arial" w:cs="Arial" w:eastAsia="Arial" w:hAnsi="Arial"/>
          <w:sz w:val="24"/>
          <w:szCs w:val="24"/>
        </w:rPr>
        <w:t xml:space="preserve">– получении материалов от правоохранительных органов.</w:t>
      </w:r>
    </w:p>
    <w:p>
      <w:pPr>
        <w:spacing w:after="120"/>
        <w:ind w:firstLine="709"/>
        <w:jc w:val="both"/>
      </w:pPr>
      <w:r>
        <w:rPr>
          <w:rFonts w:ascii="Arial" w:cs="Arial" w:eastAsia="Arial" w:hAnsi="Arial"/>
          <w:sz w:val="24"/>
          <w:szCs w:val="24"/>
        </w:rPr>
        <w:t xml:space="preserve">19. После осуществления действий, указанных в пункте 9 настоящего Порядка, сотрудник требует от субъекта или ответственного лица субъекта пробить промежуточный чек ККМ
 (х-отчет без гашения), подтверждающий документ об оплате, формируемый оборудованием и/или технологией (программно-техническим устройством), предназначенными для приема платежа в безналичной форме, и промежуточный отчет из фискальных программных средств учета товаров, работ и услуг субъекта на момент контроля.</w:t>
      </w:r>
    </w:p>
    <w:p>
      <w:pPr>
        <w:spacing w:after="120"/>
        <w:ind w:firstLine="709"/>
        <w:jc w:val="both"/>
      </w:pPr>
      <w:r>
        <w:rPr>
          <w:rFonts w:ascii="Arial" w:cs="Arial" w:eastAsia="Arial" w:hAnsi="Arial"/>
          <w:sz w:val="24"/>
          <w:szCs w:val="24"/>
        </w:rPr>
        <w:t xml:space="preserve">20. 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 утверждаемой уполномоченным налоговым органом (далее –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акт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21.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22.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23. Фактический остаток наличных денежных средств в кассе на момент установления налогового поста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Если наличных денежных средств в кассе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в акт о результатах налогового поста вносится запись «излишки» с указанием суммы цифрами и прописью, при этом у субъекта в обязательном порядке истребуется объяснительная,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х-отчете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обязан предоставить документы, подтверждающие расходы на недостающую сумму, которые прилагаются к акту о результатах налогового поста.</w:t>
      </w:r>
    </w:p>
    <w:p>
      <w:pPr>
        <w:spacing w:after="120"/>
        <w:ind w:firstLine="709"/>
        <w:jc w:val="both"/>
      </w:pPr>
      <w:r>
        <w:rPr>
          <w:rFonts w:ascii="Arial" w:cs="Arial" w:eastAsia="Arial" w:hAnsi="Arial"/>
          <w:sz w:val="24"/>
          <w:szCs w:val="24"/>
        </w:rPr>
        <w:t xml:space="preserve">25. Если сумма, указанная в промежуточном отчете, оказалась больше, чем сумма, указанная в х-отчете, то сумма разницы является подтверждением непробития контрольно-кассового чека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обязан предоставить объяснительную о выявленном факте несоответствия,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26. Если сумма, указанная в промежуточном отчете, оказалась меньше чем сумма, указанная в х-отчете, то сумма разницы относится к недостаче и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27. При наличии оборудования и/или технологий (программно-технического устройства), предназначенных для приема платежа в безналичной форме, сличается сумма безналичных денежных средств, которая указана в подтверждающем документе об оплате или выписке по уплаченным суммам посредством оборудования и/или технологий (программно-технического устройства), предназначенных для приема платежа в безналичной форме, по отношению к безналичной выручке, указанной в х-отчете.</w:t>
      </w:r>
    </w:p>
    <w:p>
      <w:pPr>
        <w:spacing w:after="120"/>
        <w:ind w:firstLine="709"/>
        <w:jc w:val="both"/>
      </w:pPr>
      <w:r>
        <w:rPr>
          <w:rFonts w:ascii="Arial" w:cs="Arial" w:eastAsia="Arial" w:hAnsi="Arial"/>
          <w:sz w:val="24"/>
          <w:szCs w:val="24"/>
        </w:rPr>
        <w:t xml:space="preserve">28. Если безналичных денежных средств в чеке или в выписке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обязан предоставить объяснительную,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29. Если безналичных денежных средств в чеке или выписке оказалось меньше суммы, указанной в х-отчете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обязан предоставить документы, подтверждающие расходы на недостающую сумму, которые прилагаются к акту о результатах налогового поста.</w:t>
      </w:r>
    </w:p>
    <w:p>
      <w:pPr>
        <w:spacing w:after="120"/>
        <w:ind w:firstLine="709"/>
        <w:jc w:val="both"/>
      </w:pPr>
      <w:r>
        <w:rPr>
          <w:rFonts w:ascii="Arial" w:cs="Arial" w:eastAsia="Arial" w:hAnsi="Arial"/>
          <w:sz w:val="24"/>
          <w:szCs w:val="24"/>
        </w:rPr>
        <w:t xml:space="preserve">30. В случае подтверждения факта излишков наличных и/или безналичных денежных средств по отношению к сумме, указанной в
 х-отчете,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31. В зависимости от установленного вида нарушения требований и порядка применения ККМ в акт о результатах налогового поста вносятся следующие записи: «неприменение ККМ», «непробитие чека», «неисправная ККМ» и информация о приложении акта снятия наличных денежных средств, объяснительной или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На основании установленных нарушений в соответствии с </w:t>
      </w:r>
      <w:hyperlink w:history="1" r:id="rIdrjtn8dmuvmclywqdipyv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составляется протокол с указанием конкретного вида нарушения.</w:t>
      </w:r>
    </w:p>
    <w:p>
      <w:pPr>
        <w:spacing w:after="120"/>
        <w:ind w:firstLine="709"/>
        <w:jc w:val="both"/>
      </w:pPr>
      <w:r>
        <w:rPr>
          <w:rFonts w:ascii="Arial" w:cs="Arial" w:eastAsia="Arial" w:hAnsi="Arial"/>
          <w:sz w:val="24"/>
          <w:szCs w:val="24"/>
        </w:rPr>
        <w:t xml:space="preserve">33. В случае отказа от подписания протокола или отсутствия налогоплательщика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34. В процессе проведения налогового поста сотрудником осуществляется:</w:t>
      </w:r>
    </w:p>
    <w:p>
      <w:pPr>
        <w:spacing w:after="120"/>
        <w:ind w:firstLine="709"/>
        <w:jc w:val="both"/>
      </w:pPr>
      <w:r>
        <w:rPr>
          <w:rFonts w:ascii="Arial" w:cs="Arial" w:eastAsia="Arial" w:hAnsi="Arial"/>
          <w:sz w:val="24"/>
          <w:szCs w:val="24"/>
        </w:rPr>
        <w:t xml:space="preserve">1) проверка полноты учета товаров и денежных средств субъекта;</w:t>
      </w:r>
    </w:p>
    <w:p>
      <w:pPr>
        <w:spacing w:after="120"/>
        <w:ind w:firstLine="709"/>
        <w:jc w:val="both"/>
      </w:pPr>
      <w:r>
        <w:rPr>
          <w:rFonts w:ascii="Arial" w:cs="Arial" w:eastAsia="Arial" w:hAnsi="Arial"/>
          <w:sz w:val="24"/>
          <w:szCs w:val="24"/>
        </w:rPr>
        <w:t xml:space="preserve">2) контроль за соблюдением порядка о применения ККМ;</w:t>
      </w:r>
    </w:p>
    <w:p>
      <w:pPr>
        <w:spacing w:after="120"/>
        <w:ind w:firstLine="709"/>
        <w:jc w:val="both"/>
      </w:pPr>
      <w:r>
        <w:rPr>
          <w:rFonts w:ascii="Arial" w:cs="Arial" w:eastAsia="Arial" w:hAnsi="Arial"/>
          <w:sz w:val="24"/>
          <w:szCs w:val="24"/>
        </w:rPr>
        <w:t xml:space="preserve">3) проверка соответствия фактического количества наемных работников с данными отчета по подоходному налогу и средствам государственного социального страхования и реестра налогового агента и наличия трудовых договоров (приказов) с наемными работниками, представленными в налоговый орган;</w:t>
      </w:r>
    </w:p>
    <w:p>
      <w:pPr>
        <w:spacing w:after="120"/>
        <w:ind w:firstLine="709"/>
        <w:jc w:val="both"/>
      </w:pPr>
      <w:r>
        <w:rPr>
          <w:rFonts w:ascii="Arial" w:cs="Arial" w:eastAsia="Arial" w:hAnsi="Arial"/>
          <w:sz w:val="24"/>
          <w:szCs w:val="24"/>
        </w:rPr>
        <w:t xml:space="preserve">4) в сфере общественного питания, торговли и услуг – уточнение количества посадочных мест, кресел, объекта услуг, площади объекта имущества, используемого в предпринимательской деятельности (в закрытом и открытом помещениях);</w:t>
      </w:r>
    </w:p>
    <w:p>
      <w:pPr>
        <w:spacing w:after="120"/>
        <w:ind w:firstLine="709"/>
        <w:jc w:val="both"/>
      </w:pPr>
      <w:r>
        <w:rPr>
          <w:rFonts w:ascii="Arial" w:cs="Arial" w:eastAsia="Arial" w:hAnsi="Arial"/>
          <w:sz w:val="24"/>
          <w:szCs w:val="24"/>
        </w:rPr>
        <w:t xml:space="preserve">5) в сфере курортно-оздоровительной отрасли – уточнение количества койко-мест, сличение фактического количества проживающих на момент проверки с данными журнала регистрации отдыхающих;</w:t>
      </w:r>
    </w:p>
    <w:p>
      <w:pPr>
        <w:spacing w:after="120"/>
        <w:ind w:firstLine="709"/>
        <w:jc w:val="both"/>
      </w:pPr>
      <w:r>
        <w:rPr>
          <w:rFonts w:ascii="Arial" w:cs="Arial" w:eastAsia="Arial" w:hAnsi="Arial"/>
          <w:sz w:val="24"/>
          <w:szCs w:val="24"/>
        </w:rPr>
        <w:t xml:space="preserve">6) снятие фактического остатка товарно-материальных ценностей (далее – ТМЦ)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35. На конец рабочей смены субъекта сотрудник заполняет акт о результатах установления налогового поста, в котором указываются:</w:t>
      </w:r>
    </w:p>
    <w:p>
      <w:pPr>
        <w:spacing w:after="120"/>
        <w:ind w:firstLine="709"/>
        <w:jc w:val="both"/>
      </w:pPr>
      <w:r>
        <w:rPr>
          <w:rFonts w:ascii="Arial" w:cs="Arial" w:eastAsia="Arial" w:hAnsi="Arial"/>
          <w:sz w:val="24"/>
          <w:szCs w:val="24"/>
        </w:rPr>
        <w:t xml:space="preserve">1) дата, место составления акта;</w:t>
      </w:r>
    </w:p>
    <w:p>
      <w:pPr>
        <w:spacing w:after="120"/>
        <w:ind w:firstLine="709"/>
        <w:jc w:val="both"/>
      </w:pPr>
      <w:r>
        <w:rPr>
          <w:rFonts w:ascii="Arial" w:cs="Arial" w:eastAsia="Arial" w:hAnsi="Arial"/>
          <w:sz w:val="24"/>
          <w:szCs w:val="24"/>
        </w:rPr>
        <w:t xml:space="preserve">2) Ф.И.О. и занимаемая должность сотрудника, которому поручено установить налоговый пост;</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наименование субъекта, адрес объекта, наличие разрешительных документов на право ведения предпринимательской деятельности, место налоговой регистрации;</w:t>
      </w:r>
    </w:p>
    <w:p>
      <w:pPr>
        <w:spacing w:after="120"/>
        <w:ind w:firstLine="709"/>
        <w:jc w:val="both"/>
      </w:pPr>
      <w:r>
        <w:rPr>
          <w:rFonts w:ascii="Arial" w:cs="Arial" w:eastAsia="Arial" w:hAnsi="Arial"/>
          <w:sz w:val="24"/>
          <w:szCs w:val="24"/>
        </w:rPr>
        <w:t xml:space="preserve">6) сроки установления налогового поста;</w:t>
      </w:r>
    </w:p>
    <w:p>
      <w:pPr>
        <w:spacing w:after="120"/>
        <w:ind w:firstLine="709"/>
        <w:jc w:val="both"/>
      </w:pPr>
      <w:r>
        <w:rPr>
          <w:rFonts w:ascii="Arial" w:cs="Arial" w:eastAsia="Arial" w:hAnsi="Arial"/>
          <w:sz w:val="24"/>
          <w:szCs w:val="24"/>
        </w:rPr>
        <w:t xml:space="preserve">7) режим работы субъекта;</w:t>
      </w:r>
    </w:p>
    <w:p>
      <w:pPr>
        <w:spacing w:after="120"/>
        <w:ind w:firstLine="709"/>
        <w:jc w:val="both"/>
      </w:pPr>
      <w:r>
        <w:rPr>
          <w:rFonts w:ascii="Arial" w:cs="Arial" w:eastAsia="Arial" w:hAnsi="Arial"/>
          <w:sz w:val="24"/>
          <w:szCs w:val="24"/>
        </w:rPr>
        <w:t xml:space="preserve">8) время обследования;</w:t>
      </w:r>
    </w:p>
    <w:p>
      <w:pPr>
        <w:spacing w:after="120"/>
        <w:ind w:firstLine="709"/>
        <w:jc w:val="both"/>
      </w:pPr>
      <w:r>
        <w:rPr>
          <w:rFonts w:ascii="Arial" w:cs="Arial" w:eastAsia="Arial" w:hAnsi="Arial"/>
          <w:sz w:val="24"/>
          <w:szCs w:val="24"/>
        </w:rPr>
        <w:t xml:space="preserve">9) вид деятельности;</w:t>
      </w:r>
    </w:p>
    <w:p>
      <w:pPr>
        <w:spacing w:after="120"/>
        <w:ind w:firstLine="709"/>
        <w:jc w:val="both"/>
      </w:pPr>
      <w:r>
        <w:rPr>
          <w:rFonts w:ascii="Arial" w:cs="Arial" w:eastAsia="Arial" w:hAnsi="Arial"/>
          <w:sz w:val="24"/>
          <w:szCs w:val="24"/>
        </w:rPr>
        <w:t xml:space="preserve">10) количество наемных работников в соответствии с данными реестра налогового агента, а также фактическое наличие трудовых отношений с ними;</w:t>
      </w:r>
    </w:p>
    <w:p>
      <w:pPr>
        <w:spacing w:after="120"/>
        <w:ind w:firstLine="709"/>
        <w:jc w:val="both"/>
      </w:pPr>
      <w:r>
        <w:rPr>
          <w:rFonts w:ascii="Arial" w:cs="Arial" w:eastAsia="Arial" w:hAnsi="Arial"/>
          <w:sz w:val="24"/>
          <w:szCs w:val="24"/>
        </w:rPr>
        <w:t xml:space="preserve">11) сведения о ценниках (прейскуранты, меню и т. п.);</w:t>
      </w:r>
    </w:p>
    <w:p>
      <w:pPr>
        <w:spacing w:after="120"/>
        <w:ind w:firstLine="709"/>
        <w:jc w:val="both"/>
      </w:pPr>
      <w:r>
        <w:rPr>
          <w:rFonts w:ascii="Arial" w:cs="Arial" w:eastAsia="Arial" w:hAnsi="Arial"/>
          <w:sz w:val="24"/>
          <w:szCs w:val="24"/>
        </w:rPr>
        <w:t xml:space="preserve">12) сведения о ККМ (применение ККМ, наличная выручка, показания по контрольному чеку (х-отчет), определение излишков (недостачи) в кассе;</w:t>
      </w:r>
    </w:p>
    <w:p>
      <w:pPr>
        <w:spacing w:after="120"/>
        <w:ind w:firstLine="709"/>
        <w:jc w:val="both"/>
      </w:pPr>
      <w:r>
        <w:rPr>
          <w:rFonts w:ascii="Arial" w:cs="Arial" w:eastAsia="Arial" w:hAnsi="Arial"/>
          <w:sz w:val="24"/>
          <w:szCs w:val="24"/>
        </w:rPr>
        <w:t xml:space="preserve">13) наличие или отсутствие акцизных марок и/или средств идентификации, контрольных пломб на нефтепродукты;</w:t>
      </w:r>
    </w:p>
    <w:p>
      <w:pPr>
        <w:spacing w:after="120"/>
        <w:ind w:firstLine="709"/>
        <w:jc w:val="both"/>
      </w:pPr>
      <w:r>
        <w:rPr>
          <w:rFonts w:ascii="Arial" w:cs="Arial" w:eastAsia="Arial" w:hAnsi="Arial"/>
          <w:sz w:val="24"/>
          <w:szCs w:val="24"/>
        </w:rPr>
        <w:t xml:space="preserve">14) сумма выручки за одну смену по результатам установления налогового поста;</w:t>
      </w:r>
    </w:p>
    <w:p>
      <w:pPr>
        <w:spacing w:after="120"/>
        <w:ind w:firstLine="709"/>
        <w:jc w:val="both"/>
      </w:pPr>
      <w:r>
        <w:rPr>
          <w:rFonts w:ascii="Arial" w:cs="Arial" w:eastAsia="Arial" w:hAnsi="Arial"/>
          <w:sz w:val="24"/>
          <w:szCs w:val="24"/>
        </w:rPr>
        <w:t xml:space="preserve">15) общая выручка, среднедневная выручка торговой точки за последний месяц;</w:t>
      </w:r>
    </w:p>
    <w:p>
      <w:pPr>
        <w:spacing w:after="120"/>
        <w:ind w:firstLine="709"/>
        <w:jc w:val="both"/>
      </w:pPr>
      <w:r>
        <w:rPr>
          <w:rFonts w:ascii="Arial" w:cs="Arial" w:eastAsia="Arial" w:hAnsi="Arial"/>
          <w:sz w:val="24"/>
          <w:szCs w:val="24"/>
        </w:rPr>
        <w:t xml:space="preserve">16) в примечании к акту о результатах налогового поста у субъектов, осуществляющих деятельность в сфере общественного питания, торговли и услуг, указываются количество посадочных мест, кресел, объектов услуг, площадь объекта имущества, используемого в предпринимательской деятельности (в закрытом и открытом помещениях); в курортно-оздоровительной сфере указывается количество койко-мест, проводится сличение фактического количества проживающих на момент проверки с данными журнала регистрации отдыхающих, а также другие выявленные факты нарушения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36. В случае предоставления субъектом органу налоговой службы обязательства (гарантийное письмо) исполнения налоговых обязательств по уплате соответствующих налогов не ниже показателей (минимум 3 дня), определенных в процессе установления налогового поста, руководством органа налоговой службы на основании служебной записки соответствующего руководителя структурного подразделения, курирующего установление налогового поста, завершается процедура установления налогового поста.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Установление налогового поста у субъекта, производящего подакцизный товар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В процессе установления налогового поста после осуществления действий, указанных в пункте 9 настоящего Порядка, сотрудником производится снятие фактического остатка следующих ТМЦ в порядке, определяемом Кабинетом Министров Кыргызской Республики, и сопоставление с отчетными данными и данными модуля «Электронная товаротранспортная накладная»:</w:t>
      </w:r>
    </w:p>
    <w:p>
      <w:pPr>
        <w:spacing w:after="120"/>
        <w:ind w:firstLine="709"/>
        <w:jc w:val="both"/>
      </w:pPr>
      <w:r>
        <w:rPr>
          <w:rFonts w:ascii="Arial" w:cs="Arial" w:eastAsia="Arial" w:hAnsi="Arial"/>
          <w:sz w:val="24"/>
          <w:szCs w:val="24"/>
        </w:rPr>
        <w:t xml:space="preserve">1) сырье для изготовления алкогольной продукции (этиловый и коньячный спирт, виноматериалы, пшеница и т. п.), табачные изделия и нефтепродукты;</w:t>
      </w:r>
    </w:p>
    <w:p>
      <w:pPr>
        <w:spacing w:after="120"/>
        <w:ind w:firstLine="709"/>
        <w:jc w:val="both"/>
      </w:pPr>
      <w:r>
        <w:rPr>
          <w:rFonts w:ascii="Arial" w:cs="Arial" w:eastAsia="Arial" w:hAnsi="Arial"/>
          <w:sz w:val="24"/>
          <w:szCs w:val="24"/>
        </w:rPr>
        <w:t xml:space="preserve">2) готовая маркированная продукция на складе (по количеству, видам и емкостям);</w:t>
      </w:r>
    </w:p>
    <w:p>
      <w:pPr>
        <w:spacing w:after="120"/>
        <w:ind w:firstLine="709"/>
        <w:jc w:val="both"/>
      </w:pPr>
      <w:r>
        <w:rPr>
          <w:rFonts w:ascii="Arial" w:cs="Arial" w:eastAsia="Arial" w:hAnsi="Arial"/>
          <w:sz w:val="24"/>
          <w:szCs w:val="24"/>
        </w:rPr>
        <w:t xml:space="preserve">3) бутилированная продукция без акцизных марок и/или средств идентификации;</w:t>
      </w:r>
    </w:p>
    <w:p>
      <w:pPr>
        <w:spacing w:after="120"/>
        <w:ind w:firstLine="709"/>
        <w:jc w:val="both"/>
      </w:pPr>
      <w:r>
        <w:rPr>
          <w:rFonts w:ascii="Arial" w:cs="Arial" w:eastAsia="Arial" w:hAnsi="Arial"/>
          <w:sz w:val="24"/>
          <w:szCs w:val="24"/>
        </w:rPr>
        <w:t xml:space="preserve">4) акцизные марки (по количеству, типам и емкостям);</w:t>
      </w:r>
    </w:p>
    <w:p>
      <w:pPr>
        <w:spacing w:after="120"/>
        <w:ind w:firstLine="709"/>
        <w:jc w:val="both"/>
      </w:pPr>
      <w:r>
        <w:rPr>
          <w:rFonts w:ascii="Arial" w:cs="Arial" w:eastAsia="Arial" w:hAnsi="Arial"/>
          <w:sz w:val="24"/>
          <w:szCs w:val="24"/>
        </w:rPr>
        <w:t xml:space="preserve">5) показания счетчика-расходомера;</w:t>
      </w:r>
    </w:p>
    <w:p>
      <w:pPr>
        <w:spacing w:after="120"/>
        <w:ind w:firstLine="709"/>
        <w:jc w:val="both"/>
      </w:pPr>
      <w:r>
        <w:rPr>
          <w:rFonts w:ascii="Arial" w:cs="Arial" w:eastAsia="Arial" w:hAnsi="Arial"/>
          <w:sz w:val="24"/>
          <w:szCs w:val="24"/>
        </w:rPr>
        <w:t xml:space="preserve">6) готовая продукция, не разлитая в потребительскую тару.</w:t>
      </w:r>
    </w:p>
    <w:p>
      <w:pPr>
        <w:spacing w:after="120"/>
        <w:ind w:firstLine="709"/>
        <w:jc w:val="both"/>
      </w:pPr>
      <w:r>
        <w:rPr>
          <w:rFonts w:ascii="Arial" w:cs="Arial" w:eastAsia="Arial" w:hAnsi="Arial"/>
          <w:sz w:val="24"/>
          <w:szCs w:val="24"/>
        </w:rPr>
        <w:t xml:space="preserve">Результаты снятия остатков ТМЦ оформляются актом снятия остатков товарно-материальных ценностей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38. Ежедневно в процессе установления налогового поста сотрудником:</w:t>
      </w:r>
    </w:p>
    <w:p>
      <w:pPr>
        <w:spacing w:after="120"/>
        <w:ind w:firstLine="709"/>
        <w:jc w:val="both"/>
      </w:pPr>
      <w:r>
        <w:rPr>
          <w:rFonts w:ascii="Arial" w:cs="Arial" w:eastAsia="Arial" w:hAnsi="Arial"/>
          <w:sz w:val="24"/>
          <w:szCs w:val="24"/>
        </w:rPr>
        <w:t xml:space="preserve">1) фиксируется приход сырья в журнале регистрации поступления сырья и материалов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2) фиксируются сведения об остатках и производстве готовой продукции, показания счетчиков-расходомеров в журнале учета показаний счетчиков и отгрузки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фиксируется отгрузка готовой продукции в журнале регистрации отгруженной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4) ведется контроль исполнения требований по применению ККМ при наличии на территории субъекта, производящего маркируемую продукцию, магазина розничной реализации готовой продукции;</w:t>
      </w:r>
    </w:p>
    <w:p>
      <w:pPr>
        <w:spacing w:after="120"/>
        <w:ind w:firstLine="709"/>
        <w:jc w:val="both"/>
      </w:pPr>
      <w:r>
        <w:rPr>
          <w:rFonts w:ascii="Arial" w:cs="Arial" w:eastAsia="Arial" w:hAnsi="Arial"/>
          <w:sz w:val="24"/>
          <w:szCs w:val="24"/>
        </w:rPr>
        <w:t xml:space="preserve">5) ведется наблюдение за процессом применения акцизных марок и/или средств идентификации на готовую маркируемую продукцию на предмет применения акцизных марок и/или средств идентификации по назначению (вид, наименование и емкость) в соответствии с ранее полученным субъектом решением на получение акцизных марок в уполномоченном налоговом органе;</w:t>
      </w:r>
    </w:p>
    <w:p>
      <w:pPr>
        <w:spacing w:after="120"/>
        <w:ind w:firstLine="709"/>
        <w:jc w:val="both"/>
      </w:pPr>
      <w:r>
        <w:rPr>
          <w:rFonts w:ascii="Arial" w:cs="Arial" w:eastAsia="Arial" w:hAnsi="Arial"/>
          <w:sz w:val="24"/>
          <w:szCs w:val="24"/>
        </w:rPr>
        <w:t xml:space="preserve">6) ведется наблюдение за списанием использованных акцизных марок;</w:t>
      </w:r>
    </w:p>
    <w:p>
      <w:pPr>
        <w:spacing w:after="120"/>
        <w:ind w:firstLine="709"/>
        <w:jc w:val="both"/>
      </w:pPr>
      <w:r>
        <w:rPr>
          <w:rFonts w:ascii="Arial" w:cs="Arial" w:eastAsia="Arial" w:hAnsi="Arial"/>
          <w:sz w:val="24"/>
          <w:szCs w:val="24"/>
        </w:rPr>
        <w:t xml:space="preserve">7) пломбируется горловина емкости автоцистерны, согласно выписанным счету-фактуре и электронной транспортной накладной при отгрузке нефтепродуктов с нефтеперерабатывающих заводов и нефтебаз проставляется штамп «Вывоз разрешен» на электронной товаротранспортной накладной, за исключением топлива, маркированного топливным маркером.</w:t>
      </w:r>
    </w:p>
    <w:p>
      <w:pPr>
        <w:spacing w:after="120"/>
        <w:ind w:firstLine="709"/>
        <w:jc w:val="both"/>
      </w:pPr>
      <w:r>
        <w:rPr>
          <w:rFonts w:ascii="Arial" w:cs="Arial" w:eastAsia="Arial" w:hAnsi="Arial"/>
          <w:sz w:val="24"/>
          <w:szCs w:val="24"/>
        </w:rPr>
        <w:t xml:space="preserve">Сведения об остатках акцизных марок, готовой продукции, использованных акцизных марках, объемах реализованной продукции, а также остатках и отгрузке нефтепродуктов через нефтеперерабатывающие заводы и нефтебазы представляются в уполномоченный налоговый орган;</w:t>
      </w:r>
    </w:p>
    <w:p>
      <w:pPr>
        <w:spacing w:after="120"/>
        <w:ind w:firstLine="709"/>
        <w:jc w:val="both"/>
      </w:pPr>
      <w:r>
        <w:rPr>
          <w:rFonts w:ascii="Arial" w:cs="Arial" w:eastAsia="Arial" w:hAnsi="Arial"/>
          <w:sz w:val="24"/>
          <w:szCs w:val="24"/>
        </w:rPr>
        <w:t xml:space="preserve">8) ведется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39. В случае выявления признаков несоответствия остатков готовой продукции с данными, предоставленными субъектом или ответственным лицом субъекта, несоответствия акцизных марок и/или средств идентификации фактическим объемам емкостей с алкогольной продукцией, а также сомнительных акцизных марок и/или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(учетной) регистрации субъекта. Соответствующий налоговый орган, получив информацию, формирует предписание в отношении данного субъекта для принятия мер в соответствии с </w:t>
      </w:r>
      <w:hyperlink w:history="1" r:id="rIde85oeyecpyd55wkikzg3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в соответствии с законодательством Кыргызской Республики органом налоговой службы принимаются соответствующие меры.</w:t>
      </w:r>
    </w:p>
    <w:p>
      <w:pPr>
        <w:spacing w:after="120"/>
        <w:ind w:firstLine="709"/>
        <w:jc w:val="both"/>
      </w:pPr>
      <w:r>
        <w:rPr>
          <w:rFonts w:ascii="Arial" w:cs="Arial" w:eastAsia="Arial" w:hAnsi="Arial"/>
          <w:sz w:val="24"/>
          <w:szCs w:val="24"/>
        </w:rPr>
        <w:t xml:space="preserve">40.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w:t>
      </w:r>
    </w:p>
    <w:p>
      <w:pPr>
        <w:spacing w:after="120"/>
        <w:ind w:firstLine="709"/>
        <w:jc w:val="both"/>
      </w:pPr>
      <w:r>
        <w:rPr>
          <w:rFonts w:ascii="Arial" w:cs="Arial" w:eastAsia="Arial" w:hAnsi="Arial"/>
          <w:sz w:val="24"/>
          <w:szCs w:val="24"/>
        </w:rPr>
        <w:t xml:space="preserve">41. В случае наличия у субъекта, производящего подакцизные товары, автоматизированной системы учета отпуска готовой продукции сведения, указанные в пункте 37 настоящего Порядка, в данную систему вводятся сотрудником в режиме онлайн.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Установление налогового поста у субъекта, имеющего налоговую задолженность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Налоговый пост у субъекта, имеющего налоговую задолженность, устанавливается при наличии кассы и в соответствии с порядком взыскания налоговой задолженности, определенным Кабинетом Министров Кыргызской Республики.</w:t>
      </w:r>
    </w:p>
    <w:p>
      <w:pPr>
        <w:spacing w:after="120"/>
        <w:ind w:firstLine="709"/>
        <w:jc w:val="both"/>
      </w:pPr>
      <w:r>
        <w:rPr>
          <w:rFonts w:ascii="Arial" w:cs="Arial" w:eastAsia="Arial" w:hAnsi="Arial"/>
          <w:sz w:val="24"/>
          <w:szCs w:val="24"/>
        </w:rPr>
        <w:t xml:space="preserve">43. После прибытия на место дислокации субъекта и осуществления действий, указанных в пункте 9 настоящего Порядка, сотрудник снимает фактический остаток наличных денежных средств в кассе и заполняет акт о взыскании наличных денежных средств по форме, утвержденной уполномоченным налоговым органом. Акт о взыскании наличных денежных средств одновременно содержит требование органа налоговой службы об уплате денежных средств, указанных в акте, в установленные сроки. По окончании рабочей смены субъекта сотрудник также проводит процедуру снятия остатков наличных денежных средств с составлением акта о взыскании наличных денежных средств.</w:t>
      </w:r>
    </w:p>
    <w:p>
      <w:pPr>
        <w:spacing w:after="120"/>
        <w:ind w:firstLine="709"/>
        <w:jc w:val="both"/>
      </w:pPr>
      <w:r>
        <w:rPr>
          <w:rFonts w:ascii="Arial" w:cs="Arial" w:eastAsia="Arial" w:hAnsi="Arial"/>
          <w:sz w:val="24"/>
          <w:szCs w:val="24"/>
        </w:rPr>
        <w:t xml:space="preserve">В последующие дни налогового поста остатки наличных денежных средств с кассы снимаются в конце рабочей смены.</w:t>
      </w:r>
    </w:p>
    <w:p>
      <w:pPr>
        <w:spacing w:after="120"/>
        <w:ind w:firstLine="709"/>
        <w:jc w:val="both"/>
      </w:pPr>
      <w:r>
        <w:rPr>
          <w:rFonts w:ascii="Arial" w:cs="Arial" w:eastAsia="Arial" w:hAnsi="Arial"/>
          <w:sz w:val="24"/>
          <w:szCs w:val="24"/>
        </w:rPr>
        <w:t xml:space="preserve">44. В акте о взыскании наличных денежных средств указываются наличные денежные средства (покупюрно) и подводится общий итог
 об остатке наличных денежных средств в кассе (цифрами и прописью) на момент снятия остатков денежных средств.</w:t>
      </w:r>
    </w:p>
    <w:p>
      <w:pPr>
        <w:spacing w:after="120"/>
        <w:ind w:firstLine="709"/>
        <w:jc w:val="both"/>
      </w:pPr>
      <w:r>
        <w:rPr>
          <w:rFonts w:ascii="Arial" w:cs="Arial" w:eastAsia="Arial" w:hAnsi="Arial"/>
          <w:sz w:val="24"/>
          <w:szCs w:val="24"/>
        </w:rPr>
        <w:t xml:space="preserve">45. Акт о взыскании наличных денежных средств прилагается к акту о результатах налогового поста для погашения налоговой задолженности.</w:t>
      </w:r>
    </w:p>
    <w:p>
      <w:pPr>
        <w:spacing w:after="120"/>
        <w:ind w:firstLine="709"/>
        <w:jc w:val="both"/>
      </w:pPr>
      <w:r>
        <w:rPr>
          <w:rFonts w:ascii="Arial" w:cs="Arial" w:eastAsia="Arial" w:hAnsi="Arial"/>
          <w:sz w:val="24"/>
          <w:szCs w:val="24"/>
        </w:rPr>
        <w:t xml:space="preserve">46. Акты о взыскании наличных денежных средств и результатах налогового поста для погашения налоговой задолженности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 субъекта, при оформлении акта в электронной форме сотрудник и субъект используют графическую подпись.</w:t>
      </w:r>
    </w:p>
    <w:p>
      <w:pPr>
        <w:spacing w:after="120"/>
        <w:ind w:firstLine="709"/>
        <w:jc w:val="both"/>
      </w:pPr>
      <w:r>
        <w:rPr>
          <w:rFonts w:ascii="Arial" w:cs="Arial" w:eastAsia="Arial" w:hAnsi="Arial"/>
          <w:sz w:val="24"/>
          <w:szCs w:val="24"/>
        </w:rPr>
        <w:t xml:space="preserve">47. В случае если акт о взыскании наличных денежных средств оформлен в бумажной форме, второй экземпляр акта вручается субъекту под подпись. В случае отказа от подписания в акт о взыскании наличных денежных средств, который подписывается сотрудником, вносится запись «от подписания акта о взыскании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48. В случае если акт о взыскании наличных денежных средств оформлен в электронной форме, акт направляется в личный кабинет субъекта либо по взаимному согласованию на адрес электронной почты или в мессенджер субъекта.</w:t>
      </w:r>
    </w:p>
    <w:p>
      <w:pPr>
        <w:spacing w:after="120"/>
        <w:ind w:firstLine="709"/>
        <w:jc w:val="both"/>
      </w:pPr>
      <w:r>
        <w:rPr>
          <w:rFonts w:ascii="Arial" w:cs="Arial" w:eastAsia="Arial" w:hAnsi="Arial"/>
          <w:sz w:val="24"/>
          <w:szCs w:val="24"/>
        </w:rPr>
        <w:t xml:space="preserve">49. Наличные денежные средства, взысканные в процессе установления налогового поста, передаются субъектом и/или ответственным лицом субъекта не позднее двух рабочих дней, следующих за днем снятия денежных средств, в банк для их зачисления на счета субъекта с последующим перечислением в бюджет. В случае отсутствия банковских счетов субъекта взысканные денежные средства зачисляются в бюджет в счет погашения налоговой задолженности.</w:t>
      </w:r>
    </w:p>
    <w:p>
      <w:pPr>
        <w:spacing w:after="120"/>
        <w:ind w:firstLine="709"/>
        <w:jc w:val="both"/>
      </w:pPr>
      <w:r>
        <w:rPr>
          <w:rFonts w:ascii="Arial" w:cs="Arial" w:eastAsia="Arial" w:hAnsi="Arial"/>
          <w:sz w:val="24"/>
          <w:szCs w:val="24"/>
        </w:rPr>
        <w:t xml:space="preserve">50. Невыполнение требования органа налоговой службы об уплате взысканных наличных средств в установленный срок влечет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Установление налогового поста у субъекта, осуществляющего добычу полезных ископаемых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Налоговый пост у субъекта, осуществляющего добычу полезных ископаемых, устанавливается как на шлагбауме, где осуществляется регистрация выезда транспортных средств, так и на весовом контроле.</w:t>
      </w:r>
    </w:p>
    <w:p>
      <w:pPr>
        <w:spacing w:after="120"/>
        <w:ind w:firstLine="709"/>
        <w:jc w:val="both"/>
      </w:pPr>
      <w:r>
        <w:rPr>
          <w:rFonts w:ascii="Arial" w:cs="Arial" w:eastAsia="Arial" w:hAnsi="Arial"/>
          <w:sz w:val="24"/>
          <w:szCs w:val="24"/>
        </w:rPr>
        <w:t xml:space="preserve">52. При установлении налогового поста у субъекта, осуществляющего добычу полезных ископаемых, сотрудником производится регистрация учета отгрузки добычи полезных ископаемых в журнале регистрации отгруженной продукции по форме, утвержденной уполномоченным налоговым органом, и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53.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 и с данными реестра налогового агента. В случае выявления несоответствия фактического наличия с отчетными данными и с данными реестра налогового агента проводится налоговый контроль в соответствии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В конце рабочей смены субъекта устанавливается объем произведенного сырья, сотрудник составляет акт о результатах установленного налогового поста с указанием данных, выявленных в результате установленного налогового поста.</w:t>
      </w:r>
    </w:p>
    <w:p>
      <w:pPr>
        <w:spacing w:after="120"/>
        <w:ind w:firstLine="709"/>
        <w:jc w:val="both"/>
      </w:pPr>
      <w:r>
        <w:rPr>
          <w:rFonts w:ascii="Arial" w:cs="Arial" w:eastAsia="Arial" w:hAnsi="Arial"/>
          <w:sz w:val="24"/>
          <w:szCs w:val="24"/>
        </w:rPr>
        <w:t xml:space="preserve">54. При наличии кассы проводятся процедуры, указанные в пунктах 22–38 настоящего Порядка.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rbdjncotuu7t7ncwsvq">
      <w:r>
        <w:rPr>
          <w:rFonts w:ascii="Arial" w:cs="Arial" w:eastAsia="Arial" w:hAnsi="Arial"/>
          <w:color w:val="132D3F"/>
          <w:sz w:val="16"/>
          <w:szCs w:val="16"/>
          <w:u w:val="single"/>
        </w:rPr>
        <w:t xml:space="preserve">dalil.kg/document/159031</w:t>
      </w:r>
    </w:hyperlink>
  </w:p>
  <w:p>
    <w:pPr>
      <w:spacing w:after="0" w:before="40"/>
      <w:jc w:val="center"/>
    </w:pPr>
    <w:hyperlink w:history="1" r:id="rIdhsokj-otkyyy1apvur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5qo029njwpbmr-g5n0" Type="http://schemas.openxmlformats.org/officeDocument/2006/relationships/hyperlink" Target="https://dalil.kg/document/159028" TargetMode="External"/><Relationship Id="rIdvt2gg3by3xjhlqaczmd4j" Type="http://schemas.openxmlformats.org/officeDocument/2006/relationships/hyperlink" Target="https://dalil.kg/document/230030441" TargetMode="External"/><Relationship Id="rIdmqcl_kopuuc_b_p8kzhmu" Type="http://schemas.openxmlformats.org/officeDocument/2006/relationships/hyperlink" Target="https://dalil.kg/document/112340#st_51" TargetMode="External"/><Relationship Id="rIdwrxunrogk5h0pv52jgdlq" Type="http://schemas.openxmlformats.org/officeDocument/2006/relationships/hyperlink" Target="https://dalil.kg/document/112340#st_59" TargetMode="External"/><Relationship Id="rIdkdur5q-n2wymdmb0akehc" Type="http://schemas.openxmlformats.org/officeDocument/2006/relationships/hyperlink" Target="https://dalil.kg/document/112340#st_60" TargetMode="External"/><Relationship Id="rIdehuo8v--vzuydvpoiz4nr" Type="http://schemas.openxmlformats.org/officeDocument/2006/relationships/hyperlink" Target="https://dalil.kg/document/112340#st_109" TargetMode="External"/><Relationship Id="rIdezulw2d3s9rp3g1lfi60_" Type="http://schemas.openxmlformats.org/officeDocument/2006/relationships/hyperlink" Target="https://dalil.kg/document/112340#st_131" TargetMode="External"/><Relationship Id="rIdip0t-defuhepggbgn1gj-" Type="http://schemas.openxmlformats.org/officeDocument/2006/relationships/hyperlink" Target="https://dalil.kg/document/112340#st_132" TargetMode="External"/><Relationship Id="rIdwistn3dtkhtjnyu6kawsh" Type="http://schemas.openxmlformats.org/officeDocument/2006/relationships/hyperlink" Target="https://dalil.kg/document/112340#st_138" TargetMode="External"/><Relationship Id="rIdyqcr6ricd2drmxowrx_yx" Type="http://schemas.openxmlformats.org/officeDocument/2006/relationships/hyperlink" Target="https://dalil.kg/document/112306" TargetMode="External"/><Relationship Id="rIdu0mpyrxiloo_nmyeuyzhb" Type="http://schemas.openxmlformats.org/officeDocument/2006/relationships/hyperlink" Target="https://dalil.kg/document/112306" TargetMode="External"/><Relationship Id="rIdyr0n26qtlkhv6dmfyi03a" Type="http://schemas.openxmlformats.org/officeDocument/2006/relationships/hyperlink" Target="https://dalil.kg/document/112340#st_127" TargetMode="External"/><Relationship Id="rIdrjtn8dmuvmclywqdipyva" Type="http://schemas.openxmlformats.org/officeDocument/2006/relationships/hyperlink" Target="https://dalil.kg/document/112306" TargetMode="External"/><Relationship Id="rIde85oeyecpyd55wkikzg3m"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rbdjncotuu7t7ncwsvq" Type="http://schemas.openxmlformats.org/officeDocument/2006/relationships/hyperlink" Target="https://dalil.kg/document/159031" TargetMode="External"/><Relationship Id="rIdhsokj-otkyyy1apvur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2026-09-24T11:08:32.041Z</dcterms:created>
  <dcterms:modified xsi:type="dcterms:W3CDTF">2026-09-24T11:08:32.041Z</dcterms:modified>
</cp:coreProperties>
</file>

<file path=docProps/custom.xml><?xml version="1.0" encoding="utf-8"?>
<Properties xmlns="http://schemas.openxmlformats.org/officeDocument/2006/custom-properties" xmlns:vt="http://schemas.openxmlformats.org/officeDocument/2006/docPropsVTypes"/>
</file>