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</w:t>
      </w:r>
      <w:r>
        <w:rPr>
          <w:rFonts w:ascii="Arial" w:cs="Arial" w:eastAsia="Arial" w:hAnsi="Arial"/>
          <w:sz w:val="24"/>
          <w:szCs w:val="24"/>
        </w:rPr>
        <w:t xml:space="preserve">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200</w:t>
      </w:r>
    </w:p>
    <w:p>
      <w:pPr>
        <w:spacing w:after="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страховых тарифов и размеров страховых сумм (лимиты ответственности) обязательного страхования гражданской ответственности" от 26 февраля 2010 года № 113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страховых тарифов по обязательному страхованию гражданской ответственности перевозчиков перед пассажирами и перевозчиков опасных грузов, в соответствии со </w:t>
      </w:r>
      <w:hyperlink w:history="1" r:id="rIdp-3lu-nke40ikwxlgji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обязательном страховании гражданской ответственности перевозчика перед пассажирами", </w:t>
      </w:r>
      <w:hyperlink w:history="1" r:id="rIdrvfhbuo0vuhsibcmuh3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обязательном страховании гражданской ответственности перевозчика опасных грузов", статьями </w:t>
      </w:r>
      <w:hyperlink w:history="1" r:id="rIdhqqpx_nyd1cpgx2fem4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3-djcwi3x0dgrkmcwz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u2tuobin-ofkuqaeyy0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страховых тарифов и размеров страховых сумм (лимиты ответственности) обязательного страхования гражданской ответственности" от 26 февраля 2010 года № 113 следующие изменения: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 дополнить абзацем шестым следующего содержания: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структуру тарифов по обязательному страхованию гражданской ответственности.";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 признать утратившим силу;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минимальные размеры страховой суммы</w:t>
      </w:r>
      <w:r>
        <w:rPr>
          <w:rFonts w:ascii="Arial" w:cs="Arial" w:eastAsia="Arial" w:hAnsi="Arial"/>
          <w:sz w:val="24"/>
          <w:szCs w:val="24"/>
        </w:rPr>
        <w:t xml:space="preserve"> и тарифы страховой премии обязательного страхования гражданской ответственности перевозчика опасных грузов, утвержденные вышеназванным постановлением, изложить в редакции согласно </w:t>
      </w:r>
      <w:hyperlink w:history="1" r:id="rIdupkagtjx9llg0jb1gv1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тарифы страховой премии </w:t>
      </w:r>
      <w:r>
        <w:rPr>
          <w:rFonts w:ascii="Arial" w:cs="Arial" w:eastAsia="Arial" w:hAnsi="Arial"/>
          <w:sz w:val="24"/>
          <w:szCs w:val="24"/>
        </w:rPr>
        <w:t xml:space="preserve">и лимиты ответственности обязательного страхования гражданской ответственности перевозчика перед пассажирами, утвержденные вышеназванным постановлением, изложить в редакции согласно </w:t>
      </w:r>
      <w:hyperlink w:history="1" r:id="rIdiqz240jggh7fbbwpl9f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дополнить </w:t>
      </w:r>
      <w:r>
        <w:rPr>
          <w:rFonts w:ascii="Arial" w:cs="Arial" w:eastAsia="Arial" w:hAnsi="Arial"/>
          <w:sz w:val="24"/>
          <w:szCs w:val="24"/>
        </w:rPr>
        <w:t xml:space="preserve">приложением</w:t>
      </w:r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xmy6kqllrzi4spuqdtc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"Утверждены
 постановлением Правительства Кыргызской Республики
 от 26 февраля 2010 года № 113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МИНИМАЛЬНЫЕ РАЗМЕРЫ
 страховой суммы и тарифы страховой премии обязательного страхования гражданской ответственности перевозчика опасных грузов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Годовая страховая премия за одну единицу грузового транспортного средства равна произведению базового страхового тарифа на минимальный размер страховой суммы.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Договор страхования заключается отдельно на каждое грузовое транспортное средство.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Базовый страховой тариф для всех категорий транспортных средств равен 0,2 процента.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Страховая сумма по договору страхования зависит от класса опасного груза и грузоподъемности грузового транспортного средства и не может быть меньше установленных минимальных страховых сумм согласно следующей таблице: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2691"/>
        <w:gridCol w:w="1008"/>
        <w:gridCol w:w="1008"/>
        <w:gridCol w:w="1008"/>
        <w:gridCol w:w="1008"/>
        <w:gridCol w:w="1008"/>
        <w:gridCol w:w="1008"/>
        <w:gridCol w:w="1008"/>
      </w:tblGrid>
      <w:tr>
        <w:tc>
          <w:tcPr>
            <w:tcW w:type="dxa" w:w="43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269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Классы риска</w:t>
            </w:r>
          </w:p>
        </w:tc>
        <w:tc>
          <w:tcPr>
            <w:tcW w:type="dxa" w:w="7056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Минимальный размер страховой суммы, в сомах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5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Грузовое транспортное средство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до 5 тонн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до 7,5 тонны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до 10 тонны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до 12,5 тонны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до 15 тонн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до 20 тонн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свыше 20 тонн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2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Класс 1 - взрывчатые вещества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1500000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2750000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4000000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5250000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6500000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8500000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10000000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2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Класс 2 - газы сжатые, сжиженные и растворенные под давлением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500000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875000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1625000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1625000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2000000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2500000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3000000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2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Класс 3 - легковоспламеняющиеся жидкости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500000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875000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1250000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1625000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2000000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2500000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3000000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2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Класс 4 - легковоспламеняющиеся вещества и материалы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1500000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2750000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4000000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5250000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6500000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8500000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10000000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2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Класс 5 - окисляющие вещества и органические перекиси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1500000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2500000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3500000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4500000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5500000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6500000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8000000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2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Класс 6 - ядовитые (токсичные) вещества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1500000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2750000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4000000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5250000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6500000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8500000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10000000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2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Класс 7 - радиоактивные и инфекционные вещества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2000000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3500000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5000000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6500000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8000000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10000000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12000000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2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Класс 8 - едкие и коррозийные вещества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1500000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2500000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3500000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4500000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5500000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6500000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8000000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2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Класс 9 - прочие опасные вещества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1500000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2500000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3500000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4500000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5500000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6500000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8000000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Лимит ответственности по риску нанесения вреда жизни и здоровью третьих лиц составляет 300000 (триста тысяч) сомов на одного потерпевшего.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Для железнодорожного транспорта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Транспортным средством при страховании гражданской ответственности перевозчика опасных грузов железнодорожным транспортом является локомотив (магистральный тепловоз), осуществляющий грузовые перевозки, находящийся в эксплуатации.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Единый минимальный размер страховой суммы для всех классов рисков устанавливается в размере 6000000 (шесть миллионов) сомов.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Таблица
 краткосрочности по обязательному страхованию гражданской ответственности перевозчика опасных грузов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 заключении договора страхования на срок менее двенадцати месяцев устанавливаются следующие размеры страховых премий: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2593"/>
        <w:gridCol w:w="7155"/>
      </w:tblGrid>
      <w:tr>
        <w:tc>
          <w:tcPr>
            <w:tcW w:type="dxa" w:w="4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25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Срок страхования</w:t>
            </w:r>
          </w:p>
        </w:tc>
        <w:tc>
          <w:tcPr>
            <w:tcW w:type="dxa" w:w="71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Размер страховой премии (в процентах от годовой страховой премии)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15 дней включительно</w:t>
            </w:r>
          </w:p>
        </w:tc>
        <w:tc>
          <w:tcPr>
            <w:tcW w:type="dxa" w:w="7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1 месяца</w:t>
            </w:r>
          </w:p>
        </w:tc>
        <w:tc>
          <w:tcPr>
            <w:tcW w:type="dxa" w:w="7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2 месяцев</w:t>
            </w:r>
          </w:p>
        </w:tc>
        <w:tc>
          <w:tcPr>
            <w:tcW w:type="dxa" w:w="7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3 месяцев</w:t>
            </w:r>
          </w:p>
        </w:tc>
        <w:tc>
          <w:tcPr>
            <w:tcW w:type="dxa" w:w="7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4 месяцев</w:t>
            </w:r>
          </w:p>
        </w:tc>
        <w:tc>
          <w:tcPr>
            <w:tcW w:type="dxa" w:w="7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5 месяцев</w:t>
            </w:r>
          </w:p>
        </w:tc>
        <w:tc>
          <w:tcPr>
            <w:tcW w:type="dxa" w:w="7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6 месяцев</w:t>
            </w:r>
          </w:p>
        </w:tc>
        <w:tc>
          <w:tcPr>
            <w:tcW w:type="dxa" w:w="7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7 месяцев</w:t>
            </w:r>
          </w:p>
        </w:tc>
        <w:tc>
          <w:tcPr>
            <w:tcW w:type="dxa" w:w="7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8 месяцев</w:t>
            </w:r>
          </w:p>
        </w:tc>
        <w:tc>
          <w:tcPr>
            <w:tcW w:type="dxa" w:w="7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9 месяцев</w:t>
            </w:r>
          </w:p>
        </w:tc>
        <w:tc>
          <w:tcPr>
            <w:tcW w:type="dxa" w:w="7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10 месяцев</w:t>
            </w:r>
          </w:p>
        </w:tc>
        <w:tc>
          <w:tcPr>
            <w:tcW w:type="dxa" w:w="7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11 месяцев</w:t>
            </w:r>
          </w:p>
        </w:tc>
        <w:tc>
          <w:tcPr>
            <w:tcW w:type="dxa" w:w="7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95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12 месяцев</w:t>
            </w:r>
          </w:p>
        </w:tc>
        <w:tc>
          <w:tcPr>
            <w:tcW w:type="dxa" w:w="7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"Утверждены
 постановлением Правительства Кыргызской Республики
 от 26 февраля 2010 года № 113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ТАРИФЫ
 страховой премии и лимиты ответственности обязательного страхования гражданской ответственности перевозчика перед пассажирами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Для автомобильного транспорта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Годовая страховая премия равна произведению базового тарифа на коэффициент, в зависимости от типа транспортного средства, на коэффициент, в зависимости от типа перевозки, на количество посадочных мест в транспортном средстве и на лимит ответственности по одному пассажиру.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Базовый страховой тариф равен 0,045 процента.</w:t>
      </w:r>
      <w:r>
        <w:rPr>
          <w:rFonts w:ascii="Arial" w:cs="Arial" w:eastAsia="Arial" w:hAnsi="Arial"/>
          <w:sz w:val="22"/>
          <w:szCs w:val="22"/>
        </w:rPr>
        <w:t xml:space="preserve">Begin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nocompare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20"/>
        <w:gridCol w:w="2758"/>
      </w:tblGrid>
      <w:tr>
        <w:tc>
          <w:tcPr>
            <w:tcW w:type="dxa" w:w="7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По типу транспортного средства</w:t>
            </w:r>
          </w:p>
        </w:tc>
        <w:tc>
          <w:tcPr>
            <w:tcW w:type="dxa" w:w="27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Коэффициенты</w:t>
            </w:r>
          </w:p>
        </w:tc>
      </w:tr>
      <w:tr>
        <w:tc>
          <w:tcPr>
            <w:tcW w:type="dxa" w:w="74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Легковые автомобили, автобусы, микроавтобусы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1,2</w:t>
            </w:r>
          </w:p>
        </w:tc>
      </w:tr>
      <w:tr>
        <w:tc>
          <w:tcPr>
            <w:tcW w:type="dxa" w:w="74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Троллейбусы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0,5</w:t>
            </w:r>
          </w:p>
        </w:tc>
      </w:tr>
      <w:tr>
        <w:tc>
          <w:tcPr>
            <w:tcW w:type="dxa" w:w="74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По типу перевозок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Коэффициенты</w:t>
            </w:r>
          </w:p>
        </w:tc>
      </w:tr>
      <w:tr>
        <w:tc>
          <w:tcPr>
            <w:tcW w:type="dxa" w:w="74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Внутригородские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0,8</w:t>
            </w:r>
          </w:p>
        </w:tc>
      </w:tr>
      <w:tr>
        <w:tc>
          <w:tcPr>
            <w:tcW w:type="dxa" w:w="74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Междугородние и международные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1,2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Лимит ответственности по риску нанесения вреда жизни и здоровью пассажиров составляет 300000 сомов на одного пассажира.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Лимит ответственности по риску нанесения вреда имуществу одного пассажира составляет 10000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Общий лимит ответственности по договору составляет произведение лимита ответственности на одного пассажира (310000 сомов) на количество пассажирских мест в автомобильном транспортном средстве.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Для авиационного транспорта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Страховая премия за один рейс равна произведению базового страхового тарифа на количество фактически заполненных пассажирских кресел на воздушном транспортном средстве и на лимит ответственности на одного пассажира.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Базовый страховой тариф равен 0,007 процента. Договор страхования заключается с перевозчиком на каждый год, с отражением каждого рейса.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Лимит ответственности по риску нанесения вреда жизни и здоровью пассажиров составляет 300000 сомов на одного пассажира.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Лимит ответственности по риску нанесения вреда имуществу одного пассажира составляет 10000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Общий лимит ответственности по договору обязательного страхования составляет произведение лимита ответственности на одного пассажира (310000 сомов) на количество фактически заполненных пассажирских кресел на воздушном транспортном средстве.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Для железнодорожного транспорта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Годовая страховая премия внутриреспубликанских пассажирских перевозок равна произведению базового тарифа на годовой доход перевозчика от продажи билетов на пассажирские поезда внутриреспубликанского сообщения.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Базовый страховой тариф равен 0,2 процента.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Договор страхования заключается на фактически перевезенных пассажиров в течение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Лимит ответственности по риску нанесения вреда жизни и здоровью пассажиров составляет 300000 сомов на одного пассажира.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Лимит ответственности по риску нанесения вреда имуществу одного пассажира составляет 10000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Общий лимит ответственности на одного пассажира составляет 310000 сомов.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Для водного транспорта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Страховая премия равна произведению 1 процента от стоимости билета на количество фактически перевезенных пассажиров в течение года страхования.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Договор страхования заключается сроком на один год на каждого фактически перевезенного пассажира.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Лимит ответственности по риску нанесения вреда жизни и здоровью пассажиров составляет 300000 сомов на одного пассажира.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Лимит по риску нанесения вреда имуществу одного пассажира составляет 10000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Общий лимит ответственности на одного пассажира составляет 310000 сомов.</w:t>
      </w:r>
      <w:r>
        <w:rPr>
          <w:rFonts w:ascii="Arial" w:cs="Arial" w:eastAsia="Arial" w:hAnsi="Arial"/>
          <w:sz w:val="22"/>
          <w:szCs w:val="22"/>
        </w:rPr>
        <w:t xml:space="preserve">Begin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nocompare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Таблица
 краткосрочности по обязательному страхованию гражданской ответственности перевозчика перед пассажирами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 заключении договора страхования на срок менее двенадцати месяцев устанавливаются следующие размеры страховых премий: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2593"/>
        <w:gridCol w:w="7155"/>
      </w:tblGrid>
      <w:tr>
        <w:tc>
          <w:tcPr>
            <w:tcW w:type="dxa" w:w="4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25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Срок страхования</w:t>
            </w:r>
          </w:p>
        </w:tc>
        <w:tc>
          <w:tcPr>
            <w:tcW w:type="dxa" w:w="71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Размер страховой премии (в процентах от годовой страховой премии)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15 дней включительно</w:t>
            </w:r>
          </w:p>
        </w:tc>
        <w:tc>
          <w:tcPr>
            <w:tcW w:type="dxa" w:w="7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1 месяца</w:t>
            </w:r>
          </w:p>
        </w:tc>
        <w:tc>
          <w:tcPr>
            <w:tcW w:type="dxa" w:w="7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2 месяцев</w:t>
            </w:r>
          </w:p>
        </w:tc>
        <w:tc>
          <w:tcPr>
            <w:tcW w:type="dxa" w:w="7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3 месяцев</w:t>
            </w:r>
          </w:p>
        </w:tc>
        <w:tc>
          <w:tcPr>
            <w:tcW w:type="dxa" w:w="7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4 месяцев</w:t>
            </w:r>
          </w:p>
        </w:tc>
        <w:tc>
          <w:tcPr>
            <w:tcW w:type="dxa" w:w="7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5 месяцев</w:t>
            </w:r>
          </w:p>
        </w:tc>
        <w:tc>
          <w:tcPr>
            <w:tcW w:type="dxa" w:w="7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6 месяцев</w:t>
            </w:r>
          </w:p>
        </w:tc>
        <w:tc>
          <w:tcPr>
            <w:tcW w:type="dxa" w:w="7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7 месяцев</w:t>
            </w:r>
          </w:p>
        </w:tc>
        <w:tc>
          <w:tcPr>
            <w:tcW w:type="dxa" w:w="7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8 месяцев</w:t>
            </w:r>
          </w:p>
        </w:tc>
        <w:tc>
          <w:tcPr>
            <w:tcW w:type="dxa" w:w="7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9 месяцев</w:t>
            </w:r>
          </w:p>
        </w:tc>
        <w:tc>
          <w:tcPr>
            <w:tcW w:type="dxa" w:w="7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10 месяцев</w:t>
            </w:r>
          </w:p>
        </w:tc>
        <w:tc>
          <w:tcPr>
            <w:tcW w:type="dxa" w:w="7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11 месяцев</w:t>
            </w:r>
          </w:p>
        </w:tc>
        <w:tc>
          <w:tcPr>
            <w:tcW w:type="dxa" w:w="7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95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12 месяцев</w:t>
            </w:r>
          </w:p>
        </w:tc>
        <w:tc>
          <w:tcPr>
            <w:tcW w:type="dxa" w:w="7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СТРУКТУРА
 тарифа по обязательному страхованию гражданской ответственности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5"/>
        <w:gridCol w:w="8959"/>
        <w:gridCol w:w="794"/>
      </w:tblGrid>
      <w:tr>
        <w:tc>
          <w:tcPr>
            <w:tcW w:type="dxa" w:w="4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89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Часть страхового тарифа</w:t>
            </w:r>
          </w:p>
        </w:tc>
        <w:tc>
          <w:tcPr>
            <w:tcW w:type="dxa" w:w="7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%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8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Брутто-ставка страховой премии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8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Нетто-ставка (часть брутто-ставки, предназначенная для обеспечения текущих страховых возмещений по договорам обязательного страхования)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8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Расходы на осуществление обязательного страхования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8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Отчисления в резерв предупредительных мероприятий по предотвращению и предупреждению наступления страховых случаев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</w:tbl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w2mmfbexcjhwdyraibg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dalil.kg/document/159104</w:t>
      </w:r>
    </w:hyperlink>
  </w:p>
  <w:p>
    <w:pPr>
      <w:spacing w:after="0" w:before="40"/>
      <w:jc w:val="center"/>
    </w:pPr>
    <w:hyperlink w:history="1" r:id="rIdamyxm5ozes35sw3gio-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-3lu-nke40ikwxlgjiml" Type="http://schemas.openxmlformats.org/officeDocument/2006/relationships/hyperlink" Target="https://dalil.kg/document/202403#st_15" TargetMode="External"/><Relationship Id="rIdrvfhbuo0vuhsibcmuh3lu" Type="http://schemas.openxmlformats.org/officeDocument/2006/relationships/hyperlink" Target="https://dalil.kg/document/202403#st_14" TargetMode="External"/><Relationship Id="rIdhqqpx_nyd1cpgx2fem4ck" Type="http://schemas.openxmlformats.org/officeDocument/2006/relationships/hyperlink" Target="https://dalil.kg/document/112301#st_13" TargetMode="External"/><Relationship Id="rIdy3-djcwi3x0dgrkmcwzax" Type="http://schemas.openxmlformats.org/officeDocument/2006/relationships/hyperlink" Target="https://dalil.kg/document/112301#st_17" TargetMode="External"/><Relationship Id="rIdyu2tuobin-ofkuqaeyy08" Type="http://schemas.openxmlformats.org/officeDocument/2006/relationships/hyperlink" Target="https://dalil.kg/document/92067" TargetMode="External"/><Relationship Id="rIdupkagtjx9llg0jb1gv1gn" Type="http://schemas.openxmlformats.org/officeDocument/2006/relationships/hyperlink" Target="https://dalil.kg/document/159104#pr1" TargetMode="External"/><Relationship Id="rIdiqz240jggh7fbbwpl9fbk" Type="http://schemas.openxmlformats.org/officeDocument/2006/relationships/hyperlink" Target="https://dalil.kg/document/159104#pr2" TargetMode="External"/><Relationship Id="rIdxmy6kqllrzi4spuqdtceq" Type="http://schemas.openxmlformats.org/officeDocument/2006/relationships/hyperlink" Target="https://dalil.kg/document/159104#pr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w2mmfbexcjhwdyraibg5" Type="http://schemas.openxmlformats.org/officeDocument/2006/relationships/hyperlink" Target="https://dalil.kg/document/159104" TargetMode="External"/><Relationship Id="rIdamyxm5ozes35sw3gio-s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2026-09-23T20:38:34.428Z</dcterms:created>
  <dcterms:modified xsi:type="dcterms:W3CDTF">2026-09-23T20:38:34.428Z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