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8 апреля 2022 года № 202</w:t>
      </w:r>
    </w:p>
    <w:p>
      <w:pPr>
        <w:spacing w:after="400" w:before="400"/>
        <w:jc w:val="center"/>
      </w:pPr>
      <w:r>
        <w:rPr>
          <w:rFonts w:ascii="Arial" w:cs="Arial" w:eastAsia="Arial" w:hAnsi="Arial"/>
          <w:b/>
          <w:bCs/>
          <w:sz w:val="28"/>
          <w:szCs w:val="28"/>
        </w:rPr>
        <w:t xml:space="preserve">Об утверждении Концепции развития таможенной службы Кыргызской Республики на 2022-2025 годы</w:t>
      </w:r>
    </w:p>
    <w:p>
      <w:pPr>
        <w:spacing w:after="200"/>
        <w:jc w:val="center"/>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i/>
          <w:iCs/>
          <w:sz w:val="24"/>
          <w:szCs w:val="24"/>
        </w:rPr>
        <w:t xml:space="preserve">12 июля 2022 года № 378</w:t>
      </w:r>
      <w:r>
        <w:rPr>
          <w:rFonts w:ascii="Arial" w:cs="Arial" w:eastAsia="Arial" w:hAnsi="Arial"/>
          <w:i/>
          <w:iCs/>
          <w:sz w:val="24"/>
          <w:szCs w:val="24"/>
        </w:rPr>
        <w:t xml:space="preserve">,</w:t>
      </w:r>
      <w:hyperlink w:history="1" r:id="rIdk0nyemyke1r3ipj1doe0j">
        <w:r>
          <w:rPr>
            <w:rFonts w:ascii="Arial" w:cs="Arial" w:eastAsia="Arial" w:hAnsi="Arial"/>
            <w:i/>
            <w:iCs/>
            <w:color w:val="1D4ED8"/>
            <w:sz w:val="24"/>
            <w:szCs w:val="24"/>
            <w:u w:val="single"/>
          </w:rPr>
          <w:t xml:space="preserve">29 мая 2023 года № 285</w:t>
        </w:r>
      </w:hyperlink>
      <w:r>
        <w:rPr>
          <w:rFonts w:ascii="Arial" w:cs="Arial" w:eastAsia="Arial" w:hAnsi="Arial"/>
          <w:i/>
          <w:iCs/>
          <w:sz w:val="24"/>
          <w:szCs w:val="24"/>
        </w:rPr>
        <w:t xml:space="preserve">, </w:t>
      </w:r>
      <w:hyperlink w:history="1" r:id="rIdnlfu7j1cgg82kpvw8wizt">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В целях обеспечения условий для развития внешней торговли путем упрощения и автоматизации таможенных процессов, модернизации таможенной службы Кыргызской Республики, в соответствии со статьями </w:t>
      </w:r>
      <w:hyperlink w:history="1" r:id="rIdyfhzpewjjp_ps2iyrqlkp">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ufs9861u-eoz1scvl0u5">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709"/>
        <w:jc w:val="both"/>
      </w:pPr>
      <w:r>
        <w:rPr>
          <w:rFonts w:ascii="Arial" w:cs="Arial" w:eastAsia="Arial" w:hAnsi="Arial"/>
          <w:sz w:val="24"/>
          <w:szCs w:val="24"/>
        </w:rPr>
        <w:t xml:space="preserve">1. Утвердить:</w:t>
      </w:r>
    </w:p>
    <w:p>
      <w:pPr>
        <w:spacing w:after="60"/>
        <w:ind w:firstLine="709"/>
        <w:jc w:val="both"/>
      </w:pPr>
      <w:r>
        <w:rPr>
          <w:rFonts w:ascii="Arial" w:cs="Arial" w:eastAsia="Arial" w:hAnsi="Arial"/>
          <w:sz w:val="24"/>
          <w:szCs w:val="24"/>
        </w:rPr>
        <w:t xml:space="preserve">1) </w:t>
      </w:r>
      <w:hyperlink w:history="1" r:id="rId9hafrqp3jbfjsayu_evvf">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развития таможенной службы Кыргызской Республики на 2022-2025 годы (далее - Концепция) согласно приложению 1;</w:t>
      </w:r>
    </w:p>
    <w:p>
      <w:pPr>
        <w:spacing w:after="60"/>
        <w:ind w:firstLine="709"/>
        <w:jc w:val="both"/>
      </w:pPr>
      <w:r>
        <w:rPr>
          <w:rFonts w:ascii="Arial" w:cs="Arial" w:eastAsia="Arial" w:hAnsi="Arial"/>
          <w:sz w:val="24"/>
          <w:szCs w:val="24"/>
        </w:rPr>
        <w:t xml:space="preserve">2) </w:t>
      </w:r>
      <w:hyperlink w:history="1" r:id="rId6xn-b2ndtydvqypehw923">
        <w:r>
          <w:rPr>
            <w:rFonts w:ascii="Arial" w:cs="Arial" w:eastAsia="Arial" w:hAnsi="Arial"/>
            <w:color w:val="1D4ED8"/>
            <w:sz w:val="24"/>
            <w:szCs w:val="24"/>
            <w:u w:val="single"/>
          </w:rPr>
          <w:t xml:space="preserve">План</w:t>
        </w:r>
      </w:hyperlink>
      <w:r>
        <w:rPr>
          <w:rFonts w:ascii="Arial" w:cs="Arial" w:eastAsia="Arial" w:hAnsi="Arial"/>
          <w:sz w:val="24"/>
          <w:szCs w:val="24"/>
        </w:rPr>
        <w:t xml:space="preserve"> мероприятий по реализации </w:t>
      </w:r>
      <w:hyperlink w:history="1" r:id="rId7d-jayn0nefarkwusa-_1">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таможенной службы Кыргызской Республики на 2022-2025 годы (далее - План мероприятий) согласно приложению 2.</w:t>
      </w:r>
    </w:p>
    <w:p>
      <w:pPr>
        <w:spacing w:after="120"/>
        <w:ind w:firstLine="709"/>
        <w:jc w:val="both"/>
      </w:pPr>
      <w:r>
        <w:rPr>
          <w:rFonts w:ascii="Arial" w:cs="Arial" w:eastAsia="Arial" w:hAnsi="Arial"/>
          <w:i/>
          <w:iCs/>
          <w:sz w:val="24"/>
          <w:szCs w:val="24"/>
        </w:rPr>
        <w:t xml:space="preserve">(В редакции постановления Кабинета Министров КР от </w:t>
      </w:r>
      <w:hyperlink w:history="1" r:id="rIdczdtk5-bzzmxeocj4bv3j">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60"/>
        <w:ind w:firstLine="709"/>
        <w:jc w:val="both"/>
      </w:pPr>
      <w:r>
        <w:rPr>
          <w:rFonts w:ascii="Arial" w:cs="Arial" w:eastAsia="Arial" w:hAnsi="Arial"/>
          <w:sz w:val="24"/>
          <w:szCs w:val="24"/>
        </w:rPr>
        <w:t xml:space="preserve">2. Государственным органам, органам местного самоуправления:</w:t>
      </w:r>
    </w:p>
    <w:p>
      <w:pPr>
        <w:spacing w:after="60"/>
        <w:ind w:firstLine="709"/>
        <w:jc w:val="both"/>
      </w:pPr>
      <w:r>
        <w:rPr>
          <w:rFonts w:ascii="Arial" w:cs="Arial" w:eastAsia="Arial" w:hAnsi="Arial"/>
          <w:sz w:val="24"/>
          <w:szCs w:val="24"/>
        </w:rPr>
        <w:t xml:space="preserve">1) принять меры по реализации Концепции;</w:t>
      </w:r>
    </w:p>
    <w:p>
      <w:pPr>
        <w:spacing w:after="60"/>
        <w:ind w:firstLine="709"/>
        <w:jc w:val="both"/>
      </w:pPr>
      <w:r>
        <w:rPr>
          <w:rFonts w:ascii="Arial" w:cs="Arial" w:eastAsia="Arial" w:hAnsi="Arial"/>
          <w:sz w:val="24"/>
          <w:szCs w:val="24"/>
        </w:rPr>
        <w:t xml:space="preserve">2) ежеквартально, до 5 числа месяца, следующего за отчетным периодом, представлять в Государственную таможенную службу при Министерстве финансов Кыргызской Республики информацию о ходе реализации Плана мероприятий.</w:t>
      </w:r>
    </w:p>
    <w:p>
      <w:pPr>
        <w:spacing w:after="60"/>
        <w:ind w:firstLine="709"/>
        <w:jc w:val="both"/>
      </w:pPr>
      <w:r>
        <w:rPr>
          <w:rFonts w:ascii="Arial" w:cs="Arial" w:eastAsia="Arial" w:hAnsi="Arial"/>
          <w:sz w:val="24"/>
          <w:szCs w:val="24"/>
        </w:rPr>
        <w:t xml:space="preserve">3. Государственной таможенной службе при Министерстве финансов Кыргызской Республики ежеквартально, до 15 числа месяца, следующего за отчетным периодом, представлять в Министерство экономики и коммерции Кыргызской Республики обобщенный отчет о ходе реализации Концепции.</w:t>
      </w:r>
    </w:p>
    <w:p>
      <w:pPr>
        <w:spacing w:after="60"/>
        <w:ind w:firstLine="709"/>
        <w:jc w:val="both"/>
      </w:pPr>
      <w:r>
        <w:rPr>
          <w:rFonts w:ascii="Arial" w:cs="Arial" w:eastAsia="Arial" w:hAnsi="Arial"/>
          <w:sz w:val="24"/>
          <w:szCs w:val="24"/>
        </w:rPr>
        <w:t xml:space="preserve">4. Установить, что реализация Концепции осуществляется в пределах средств, предусмотренных Государственной таможенной службе при Министерстве финансов Кыргызской Республики на соответствующие годы, и иных источников, не запрещенных законодательством Кыргызской Республики.</w:t>
      </w:r>
    </w:p>
    <w:p>
      <w:pPr>
        <w:spacing w:after="60"/>
        <w:ind w:firstLine="709"/>
        <w:jc w:val="both"/>
      </w:pPr>
      <w:r>
        <w:rPr>
          <w:rFonts w:ascii="Arial" w:cs="Arial" w:eastAsia="Arial" w:hAnsi="Arial"/>
          <w:sz w:val="24"/>
          <w:szCs w:val="24"/>
        </w:rPr>
        <w:t xml:space="preserve">5. Признать утратившим силу </w:t>
      </w:r>
      <w:hyperlink w:history="1" r:id="rIdvr-ue7blp8cxihokburik">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idrbbuxxrwvormtylpxvh">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таможенной службы Кыргызской Республики на 2019-2023 годы и Плана мероприятий по ее реализации" от 22 июля 2019 года № 363.</w:t>
      </w:r>
    </w:p>
    <w:p>
      <w:pPr>
        <w:spacing w:after="60"/>
        <w:ind w:firstLine="709"/>
        <w:jc w:val="both"/>
      </w:pPr>
      <w:r>
        <w:rPr>
          <w:rFonts w:ascii="Arial" w:cs="Arial" w:eastAsia="Arial" w:hAnsi="Arial"/>
          <w:sz w:val="24"/>
          <w:szCs w:val="24"/>
        </w:rPr>
        <w:t xml:space="preserve">6.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709"/>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709"/>
        <w:jc w:val="both"/>
      </w:pPr>
      <w:r>
        <w:rPr>
          <w:rFonts w:ascii="Arial" w:cs="Arial" w:eastAsia="Arial" w:hAnsi="Arial"/>
          <w:i/>
          <w:iCs/>
          <w:sz w:val="24"/>
          <w:szCs w:val="24"/>
        </w:rPr>
        <w:t xml:space="preserve">Опубликован в газете "Эркин Тоо" от 26 апреля 2022 года № 39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120"/>
        <w:jc w:val="center"/>
      </w:pPr>
      <w:r>
        <w:rPr>
          <w:rFonts w:ascii="Arial" w:cs="Arial" w:eastAsia="Arial" w:hAnsi="Arial"/>
          <w:i/>
          <w:iCs/>
          <w:sz w:val="22"/>
          <w:szCs w:val="22"/>
        </w:rPr>
        <w:t xml:space="preserve">(к </w:t>
      </w:r>
      <w:hyperlink w:history="1" r:id="rIdxvwfeb8j8b2di0idvub_g">
        <w:r>
          <w:rPr>
            <w:rFonts w:ascii="Arial" w:cs="Arial" w:eastAsia="Arial" w:hAnsi="Arial"/>
            <w:i/>
            <w:iCs/>
            <w:color w:val="1D4ED8"/>
            <w:sz w:val="22"/>
            <w:szCs w:val="22"/>
            <w:u w:val="single"/>
          </w:rPr>
          <w:t xml:space="preserve">постановлению</w:t>
        </w:r>
      </w:hyperlink>
      <w:r>
        <w:rPr>
          <w:rFonts w:ascii="Arial" w:cs="Arial" w:eastAsia="Arial" w:hAnsi="Arial"/>
          <w:i/>
          <w:iCs/>
          <w:sz w:val="22"/>
          <w:szCs w:val="22"/>
        </w:rPr>
        <w:t xml:space="preserve"> Кабинета Министров Кыргызской Республики
 от 8 апреля 2022 года № 202)</w:t>
      </w:r>
    </w:p>
    <w:p>
      <w:pPr>
        <w:spacing w:after="400" w:before="400"/>
        <w:jc w:val="center"/>
      </w:pPr>
      <w:r>
        <w:rPr>
          <w:rFonts w:ascii="Arial" w:cs="Arial" w:eastAsia="Arial" w:hAnsi="Arial"/>
          <w:b/>
          <w:bCs/>
          <w:sz w:val="32"/>
          <w:szCs w:val="32"/>
        </w:rPr>
        <w:t xml:space="preserve">КОНЦЕПЦИЯ
 развития таможенной службы Кыргызской Республики на 2022-2025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kcmk-iqqxacueagibioye">
        <w:r>
          <w:rPr>
            <w:rFonts w:ascii="Arial" w:cs="Arial" w:eastAsia="Arial" w:hAnsi="Arial"/>
            <w:i/>
            <w:iCs/>
            <w:color w:val="1D4ED8"/>
            <w:sz w:val="24"/>
            <w:szCs w:val="24"/>
            <w:u w:val="single"/>
          </w:rPr>
          <w:t xml:space="preserve">14 октября 2024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2"/>
          <w:szCs w:val="22"/>
        </w:rPr>
        <w:t xml:space="preserve">Глава 1. Введение</w:t>
      </w:r>
    </w:p>
    <w:p>
      <w:pPr>
        <w:spacing w:after="60"/>
        <w:ind w:firstLine="709"/>
        <w:jc w:val="both"/>
      </w:pPr>
      <w:r>
        <w:rPr>
          <w:rFonts w:ascii="Arial" w:cs="Arial" w:eastAsia="Arial" w:hAnsi="Arial"/>
          <w:sz w:val="22"/>
          <w:szCs w:val="22"/>
        </w:rPr>
        <w:t xml:space="preserve">Концепция развития таможенной службы Кыргызской Республики на 2022-2025 годы (далее - Концепция) является документом, определяющим основные направления развития таможенной службы и совершенствования таможенного администрирования на краткосрочный и среднесрочный периоды.</w:t>
      </w:r>
    </w:p>
    <w:p>
      <w:pPr>
        <w:spacing w:after="60"/>
        <w:ind w:firstLine="709"/>
        <w:jc w:val="both"/>
      </w:pPr>
      <w:r>
        <w:rPr>
          <w:rFonts w:ascii="Arial" w:cs="Arial" w:eastAsia="Arial" w:hAnsi="Arial"/>
          <w:sz w:val="22"/>
          <w:szCs w:val="22"/>
        </w:rPr>
        <w:t xml:space="preserve">Разработка новых подходов в таможенной сфере обусловлена учетом основных направлений реализации цифровой повестки Евразийского экономического союза до 2025 года, утвержденной решением Высшего Евразийского экономического совета от 11 октября 2017 года № 12, Национальной программы развития Кыргызской Республики до 2026 года, утвержденной Указом Президента Кыргызской Республики от 12 октября 2021 года № 435, Концепции цифровой трансформации "Цифровой Кыргызстан 2019-2023", одобренной решением Совета безопасности Кыргызской Республики от 14 декабря 2018 года № 2, положений международных договоров и актов, составляющих право Евразийского экономического союза (далее - ЕАЭС).</w:t>
      </w:r>
    </w:p>
    <w:p>
      <w:pPr>
        <w:spacing w:after="60"/>
        <w:ind w:firstLine="709"/>
        <w:jc w:val="both"/>
      </w:pPr>
      <w:r>
        <w:rPr>
          <w:rFonts w:ascii="Arial" w:cs="Arial" w:eastAsia="Arial" w:hAnsi="Arial"/>
          <w:sz w:val="22"/>
          <w:szCs w:val="22"/>
        </w:rPr>
        <w:t xml:space="preserve">Основным базовым документом, на который опирались при разработке Концепции, является Международная конвенция о гармонизации и упрощении таможенных процедур (Киотская конвенция), а также современные инструменты таможенного администрирования, разрабатываемые международным таможенным сообществом на </w:t>
      </w:r>
      <w:r>
        <w:rPr>
          <w:rFonts w:ascii="Arial" w:cs="Arial" w:eastAsia="Arial" w:hAnsi="Arial"/>
          <w:sz w:val="22"/>
          <w:szCs w:val="22"/>
        </w:rPr>
        <w:t xml:space="preserve">платформе Всемирной таможенной организации (ВТамО).</w:t>
      </w:r>
    </w:p>
    <w:p>
      <w:pPr>
        <w:spacing w:after="60"/>
        <w:ind w:firstLine="709"/>
        <w:jc w:val="both"/>
      </w:pPr>
      <w:r>
        <w:rPr>
          <w:rFonts w:ascii="Arial" w:cs="Arial" w:eastAsia="Arial" w:hAnsi="Arial"/>
          <w:sz w:val="22"/>
          <w:szCs w:val="22"/>
        </w:rPr>
        <w:t xml:space="preserve">Методологический подход, использованный при разработке Концепции, состоял из двух этапов: анализа и планирования.</w:t>
      </w:r>
    </w:p>
    <w:p>
      <w:pPr>
        <w:spacing w:after="60"/>
        <w:ind w:firstLine="709"/>
        <w:jc w:val="both"/>
      </w:pPr>
      <w:r>
        <w:rPr>
          <w:rFonts w:ascii="Arial" w:cs="Arial" w:eastAsia="Arial" w:hAnsi="Arial"/>
          <w:sz w:val="22"/>
          <w:szCs w:val="22"/>
        </w:rPr>
        <w:t xml:space="preserve">На этапе функционального анализа проведена оценка текущего состояния и выявлены проблемные вопросы в сфере таможенного дела.</w:t>
      </w:r>
    </w:p>
    <w:p>
      <w:pPr>
        <w:spacing w:after="60"/>
        <w:ind w:firstLine="709"/>
        <w:jc w:val="both"/>
      </w:pPr>
      <w:r>
        <w:rPr>
          <w:rFonts w:ascii="Arial" w:cs="Arial" w:eastAsia="Arial" w:hAnsi="Arial"/>
          <w:sz w:val="22"/>
          <w:szCs w:val="22"/>
        </w:rPr>
        <w:t xml:space="preserve">Этап планирования заключался в разработке содержания Концепции, планировании мероприятий, необходимых для успешной ее реализации, в определении индикаторов и рисков исполнения, а также необходимых для реализации Концепции ресурсов и получения ожидаемого конечного результата.</w:t>
      </w:r>
    </w:p>
    <w:p>
      <w:pPr>
        <w:spacing w:after="200" w:before="200"/>
        <w:ind w:firstLine="709"/>
        <w:jc w:val="center"/>
      </w:pPr>
      <w:r>
        <w:rPr>
          <w:rFonts w:ascii="Arial" w:cs="Arial" w:eastAsia="Arial" w:hAnsi="Arial"/>
          <w:b/>
          <w:bCs/>
          <w:sz w:val="22"/>
          <w:szCs w:val="22"/>
        </w:rPr>
        <w:t xml:space="preserve">Глава 2. Анализ текущего состояния и проблемы</w:t>
      </w:r>
    </w:p>
    <w:p>
      <w:pPr>
        <w:spacing w:after="60"/>
        <w:ind w:firstLine="709"/>
        <w:jc w:val="both"/>
      </w:pPr>
      <w:r>
        <w:rPr>
          <w:rFonts w:ascii="Arial" w:cs="Arial" w:eastAsia="Arial" w:hAnsi="Arial"/>
          <w:sz w:val="22"/>
          <w:szCs w:val="22"/>
        </w:rPr>
        <w:t xml:space="preserve">За период своего становления таможенная служба Кыргызской Республики как современная, многофункциональная система заняла особое место в экономической структуре республики, выполняя важную роль в системе государственного регулирования внешнеэкономических связей, формировании доходной части республиканского бюджета, обеспечении экономической безопасности страны.</w:t>
      </w:r>
    </w:p>
    <w:p>
      <w:pPr>
        <w:spacing w:after="60"/>
        <w:ind w:firstLine="709"/>
        <w:jc w:val="both"/>
      </w:pPr>
      <w:r>
        <w:rPr>
          <w:rFonts w:ascii="Arial" w:cs="Arial" w:eastAsia="Arial" w:hAnsi="Arial"/>
          <w:sz w:val="22"/>
          <w:szCs w:val="22"/>
        </w:rPr>
        <w:t xml:space="preserve">Многие виды деятельности и действия в сфере внешнеэкономической политики страны не только жизненно важны с точки зрения осуществления общей реформы и модернизации таможенной службы, например, "Проект цифровой таможни", "СМАРТ Бажы", "ONE STOP" и другие инновационные проекты, но и в значительной мере взаимосвязаны с вопросами содействия торговле, реализации национальной повестки дня и достижении всеобъемлющих целей.</w:t>
      </w:r>
    </w:p>
    <w:p>
      <w:pPr>
        <w:spacing w:after="60"/>
        <w:ind w:firstLine="709"/>
        <w:jc w:val="both"/>
      </w:pPr>
      <w:r>
        <w:rPr>
          <w:rFonts w:ascii="Arial" w:cs="Arial" w:eastAsia="Arial" w:hAnsi="Arial"/>
          <w:sz w:val="22"/>
          <w:szCs w:val="22"/>
        </w:rPr>
        <w:t xml:space="preserve">Значительным шагом на пути либерализации и упрощения внешней торговли стало расширение практики электронного декларирования, внедрение практики обязательного предварительного информирования, сокращение срока выпуска товаров, определение минимального перечня документов, необходимых для представления в таможенных целях, введение института уполномоченного экономического оператора, обеспечение возможности выпуска товаров до подачи таможенной декларации, применение новых технологий уплаты таможенных платежей.</w:t>
      </w:r>
    </w:p>
    <w:p>
      <w:pPr>
        <w:spacing w:after="60"/>
        <w:ind w:firstLine="709"/>
        <w:jc w:val="both"/>
      </w:pPr>
      <w:r>
        <w:rPr>
          <w:rFonts w:ascii="Arial" w:cs="Arial" w:eastAsia="Arial" w:hAnsi="Arial"/>
          <w:sz w:val="22"/>
          <w:szCs w:val="22"/>
        </w:rPr>
        <w:t xml:space="preserve">В рамках </w:t>
      </w:r>
      <w:r>
        <w:rPr>
          <w:rFonts w:ascii="Arial" w:cs="Arial" w:eastAsia="Arial" w:hAnsi="Arial"/>
          <w:sz w:val="22"/>
          <w:szCs w:val="22"/>
        </w:rPr>
        <w:t xml:space="preserve">Указа</w:t>
      </w:r>
      <w:r>
        <w:rPr>
          <w:rFonts w:ascii="Arial" w:cs="Arial" w:eastAsia="Arial" w:hAnsi="Arial"/>
          <w:sz w:val="22"/>
          <w:szCs w:val="22"/>
        </w:rPr>
        <w:t xml:space="preserve"> Президента Кыргызской Республики "О неотложных мерах по активизации внедрения цифровых технологий в государственное управление Кыргызской Республики", Концепции цифровой трансформации "Цифровой Кыргызстан 2019-2023" возникает важнейшая задача перед таможенной службой в построении современного таможенного органа путем применения инновационных проектов по упрощению торговли, качественного предоставления услуг гражданам и бизнес-сообществу в рамках оптимизации таможенных процессов, обеспечения устойчивого цифрового взаимодействия между другими государственными контролирующими органами, бизнес-сообществом и гражданами.</w:t>
      </w:r>
    </w:p>
    <w:p>
      <w:pPr>
        <w:spacing w:after="60"/>
        <w:ind w:firstLine="709"/>
        <w:jc w:val="both"/>
      </w:pPr>
      <w:r>
        <w:rPr>
          <w:rFonts w:ascii="Arial" w:cs="Arial" w:eastAsia="Arial" w:hAnsi="Arial"/>
          <w:sz w:val="22"/>
          <w:szCs w:val="22"/>
        </w:rPr>
        <w:t xml:space="preserve">Несмотря на свое 30 летнее существование, до сих пор сохраняется недостаточный институциональный потенциал, низкая эффективность и слабое администрирование процедур в пунктах пропуска, расположенных на кыргызском участке внешней границы Евразийского экономического союза, что не позволяет обеспечить качественную работу по вопросам экономической безопасности.</w:t>
      </w:r>
    </w:p>
    <w:p>
      <w:pPr>
        <w:spacing w:after="60"/>
        <w:ind w:firstLine="709"/>
        <w:jc w:val="both"/>
      </w:pPr>
      <w:r>
        <w:rPr>
          <w:rFonts w:ascii="Arial" w:cs="Arial" w:eastAsia="Arial" w:hAnsi="Arial"/>
          <w:sz w:val="22"/>
          <w:szCs w:val="22"/>
        </w:rPr>
        <w:t xml:space="preserve">Признавая недостатки и принимая во внимание принятые Стратегии развития таможенной службы Кыргызской Республики на 2011-2013 годы и 2019-2023 годы, в рамках которых проведены реформы и мероприятия по модернизации, недостаточно обеспечена эффективность работы таможенных органов в пунктах пропуска.</w:t>
      </w:r>
    </w:p>
    <w:p>
      <w:pPr>
        <w:spacing w:after="60"/>
        <w:ind w:firstLine="709"/>
        <w:jc w:val="both"/>
      </w:pPr>
      <w:r>
        <w:rPr>
          <w:rFonts w:ascii="Arial" w:cs="Arial" w:eastAsia="Arial" w:hAnsi="Arial"/>
          <w:sz w:val="22"/>
          <w:szCs w:val="22"/>
        </w:rPr>
        <w:t xml:space="preserve">Существующие административные барьеры, усложненность, многоконтрольность и невзаимосвязанность бизнес-процессов государственных контролирующих органов в пунктах пропуска не позволяют эффективно использовать имеющие технические оснащения и возможности инфраструктуры, что усложняет процедуры внешней торговли.</w:t>
      </w:r>
    </w:p>
    <w:p>
      <w:pPr>
        <w:spacing w:after="60"/>
        <w:ind w:firstLine="709"/>
        <w:jc w:val="both"/>
      </w:pPr>
      <w:r>
        <w:rPr>
          <w:rFonts w:ascii="Arial" w:cs="Arial" w:eastAsia="Arial" w:hAnsi="Arial"/>
          <w:sz w:val="22"/>
          <w:szCs w:val="22"/>
        </w:rPr>
        <w:t xml:space="preserve">Отсутствие в пунктах пропуска полноценного предоставления государственных услуг в цифровом формате, а также неоптимальное и неэффективное использование технических средств таможенного контроля, направленных на минимизацию контактов граждан и сотрудников, требует безотлагательную инвентаризацию, существующей технической базы в пунктах пропуска и таможенных объектах.</w:t>
      </w:r>
    </w:p>
    <w:p>
      <w:pPr>
        <w:spacing w:after="60"/>
        <w:ind w:firstLine="709"/>
        <w:jc w:val="both"/>
      </w:pPr>
      <w:r>
        <w:rPr>
          <w:rFonts w:ascii="Arial" w:cs="Arial" w:eastAsia="Arial" w:hAnsi="Arial"/>
          <w:sz w:val="22"/>
          <w:szCs w:val="22"/>
        </w:rPr>
        <w:t xml:space="preserve">Немаловажным обстоятельством является несоответствие инфраструктуры для обеспечения таможенного контроля в зоне прибытия пассажиров, что приводит к низкому качеству предоставления сервиса гражданам в международном аэропорту "Манас", не соблюдению международных стандартов, негативному имиджу страны, а также риску национальной безопасности.</w:t>
      </w:r>
    </w:p>
    <w:p>
      <w:pPr>
        <w:spacing w:after="60"/>
        <w:ind w:firstLine="709"/>
        <w:jc w:val="both"/>
      </w:pPr>
      <w:r>
        <w:rPr>
          <w:rFonts w:ascii="Arial" w:cs="Arial" w:eastAsia="Arial" w:hAnsi="Arial"/>
          <w:sz w:val="22"/>
          <w:szCs w:val="22"/>
        </w:rPr>
        <w:t xml:space="preserve">Так, наличие контактов между пассажирами, прибывающими из стран ЕАЭС и из стран, не являющихся членами ЕАЭС до зоны таможенного контроля, противоречит положениям права ЕАЭС и общим правилам таможенного контроля, что создает высокий риск совершения таможенных правонарушений и угрозе национальной безопасности.</w:t>
      </w:r>
    </w:p>
    <w:p>
      <w:pPr>
        <w:spacing w:after="60"/>
        <w:ind w:firstLine="709"/>
        <w:jc w:val="both"/>
      </w:pPr>
      <w:r>
        <w:rPr>
          <w:rFonts w:ascii="Arial" w:cs="Arial" w:eastAsia="Arial" w:hAnsi="Arial"/>
          <w:sz w:val="22"/>
          <w:szCs w:val="22"/>
        </w:rPr>
        <w:t xml:space="preserve">Не эффективное использование технических средств таможенного контроля в зоне прибытия международного аэропорта "Манас", в частности отсутствие инспекционно-досмотровых комплексов в багажном отсеке, не позволяет использовать результаты неинтрузивного таможенного контроля. Отсутствие вышеуказанных мер таможенного контроля, в том числе невозможность применения системы управления рисками (далее - СУР), вынуждает таможенный орган осуществлять контрольные меры в полном объеме в отношении всех прибывающих пассажиров, что приводит к большому скоплению пассажиров в зоне таможенного контроля, созданию неблагоприятной среды и формированию негативного имиджа как у пассажиров бизнес-сообщества, так и у туристов.</w:t>
      </w:r>
    </w:p>
    <w:p>
      <w:pPr>
        <w:spacing w:after="60"/>
        <w:ind w:firstLine="709"/>
        <w:jc w:val="both"/>
      </w:pPr>
      <w:r>
        <w:rPr>
          <w:rFonts w:ascii="Arial" w:cs="Arial" w:eastAsia="Arial" w:hAnsi="Arial"/>
          <w:sz w:val="22"/>
          <w:szCs w:val="22"/>
        </w:rPr>
        <w:t xml:space="preserve">Переход на безбумажные технологии осложнен неготовностью других государственных контролирующих органов к использованию современных механизмов взаимодействия.</w:t>
      </w:r>
    </w:p>
    <w:p>
      <w:pPr>
        <w:spacing w:after="60"/>
        <w:ind w:firstLine="709"/>
        <w:jc w:val="both"/>
      </w:pPr>
      <w:r>
        <w:rPr>
          <w:rFonts w:ascii="Arial" w:cs="Arial" w:eastAsia="Arial" w:hAnsi="Arial"/>
          <w:sz w:val="22"/>
          <w:szCs w:val="22"/>
        </w:rPr>
        <w:t xml:space="preserve">Таможенное декларирование и выпуск товаров осуществляются на основе бумажных сопроводительных и разрешительных документов, выдаваемых государственными контролирующими органами, которые необходимы для выполнения импортных, экспортных или транзитных процедур, при этом существующая система формирования разрешительных документов в среде "Единого окна" не обязывает к использованию соответствующих электронных разрешительных документов, что усложняет бизнес-процесс по выпуску товаров и создает бюрократические барьеры для бизнес-сообщества.</w:t>
      </w:r>
    </w:p>
    <w:p>
      <w:pPr>
        <w:spacing w:after="60"/>
        <w:ind w:firstLine="709"/>
        <w:jc w:val="both"/>
      </w:pPr>
      <w:r>
        <w:rPr>
          <w:rFonts w:ascii="Arial" w:cs="Arial" w:eastAsia="Arial" w:hAnsi="Arial"/>
          <w:sz w:val="22"/>
          <w:szCs w:val="22"/>
        </w:rPr>
        <w:t xml:space="preserve">Особое значение для оценки эффективности используемых таможенными администрациями государственного контроля, занимает СУР, как центральное звено применения форм таможенного контроля. Не эффективное функционирование существующей СУР усложняет процедуры таможенного контроля, позволяет управлять таможенными процессами на основе субъективных решений и ограничивает возможности внедрения проектов по упрощению торговли.</w:t>
      </w:r>
    </w:p>
    <w:p>
      <w:pPr>
        <w:spacing w:after="60"/>
        <w:ind w:firstLine="709"/>
        <w:jc w:val="both"/>
      </w:pPr>
      <w:r>
        <w:rPr>
          <w:rFonts w:ascii="Arial" w:cs="Arial" w:eastAsia="Arial" w:hAnsi="Arial"/>
          <w:sz w:val="22"/>
          <w:szCs w:val="22"/>
        </w:rPr>
        <w:t xml:space="preserve">Отсутствие экспертных решений по анализу и проведению исследований импортируемых товаров с целью определения таможенной классификации и стоимости, необеспеченность системой таможенной экспертизы, приводит к усложнению задач по проведению полноценного таможенного контроля над товарами и транспортными средствами, как в пунктах пропуска, так и в местах таможенного оформления, что в свою очередь приводит к недопоступлению доходов в государственный бюджет.</w:t>
      </w:r>
    </w:p>
    <w:p>
      <w:pPr>
        <w:spacing w:after="60"/>
        <w:ind w:firstLine="709"/>
        <w:jc w:val="both"/>
      </w:pPr>
      <w:r>
        <w:rPr>
          <w:rFonts w:ascii="Arial" w:cs="Arial" w:eastAsia="Arial" w:hAnsi="Arial"/>
          <w:sz w:val="22"/>
          <w:szCs w:val="22"/>
        </w:rPr>
        <w:t xml:space="preserve">Существующая Единая автоматизированная информационная система таможенной службы, разработанная на платформе "однопользовательской системы" и внедренная в 2011-м году, в настоящее время не позволяет оперативно обновлять программные продукты с целью охвата всех таможенных процессов и предоставления бизнес-сообществу таможенных услуг в электронном виде, использовать таможенные информационные ресурсы по принципу "Customs to Business (С2В)" ("Таможня - Бизнес (ТБ)" (далее - "Customs-Business (С2В)"), "Customs to Government (C2G)" ("Таможня - Правительство (ТП)" (далее - "Customs-Gove</w:t>
      </w:r>
      <w:r>
        <w:rPr>
          <w:rFonts w:ascii="Arial" w:cs="Arial" w:eastAsia="Arial" w:hAnsi="Arial"/>
          <w:sz w:val="22"/>
          <w:szCs w:val="22"/>
        </w:rPr>
        <w:t xml:space="preserve">rn</w:t>
      </w:r>
      <w:r>
        <w:rPr>
          <w:rFonts w:ascii="Arial" w:cs="Arial" w:eastAsia="Arial" w:hAnsi="Arial"/>
          <w:sz w:val="22"/>
          <w:szCs w:val="22"/>
        </w:rPr>
        <w:t xml:space="preserve">ment (C2G)") и "Customs to Customs (С2С)" ("Таможня - Таможня (ТТ)" (далее - "Customs-Customs (С2С)").</w:t>
      </w:r>
    </w:p>
    <w:p>
      <w:pPr>
        <w:spacing w:after="60"/>
        <w:ind w:firstLine="709"/>
        <w:jc w:val="both"/>
      </w:pPr>
      <w:r>
        <w:rPr>
          <w:rFonts w:ascii="Arial" w:cs="Arial" w:eastAsia="Arial" w:hAnsi="Arial"/>
          <w:sz w:val="22"/>
          <w:szCs w:val="22"/>
        </w:rPr>
        <w:t xml:space="preserve">Так, действующая структура не соответствует новым целям, задачам и видениям, предусмотренным в настоящей Концепции. Неоптимальное распределение человеческих ресурсов для осуществления таможенного контроля и иных процедур, приводят к некачественному выполнению работ, излишним издержкам и административным барьерам в таможенном деле. Отсутствие системы мотивации и социального обеспечения таможенных сотрудников также является одной из причин некачественного выполнения функциональных обязанностей и источником возникновения коррупционного риска.</w:t>
      </w:r>
    </w:p>
    <w:p>
      <w:pPr>
        <w:spacing w:after="200" w:before="200"/>
        <w:ind w:firstLine="709"/>
        <w:jc w:val="center"/>
      </w:pPr>
      <w:r>
        <w:rPr>
          <w:rFonts w:ascii="Arial" w:cs="Arial" w:eastAsia="Arial" w:hAnsi="Arial"/>
          <w:b/>
          <w:bCs/>
          <w:sz w:val="22"/>
          <w:szCs w:val="22"/>
        </w:rPr>
        <w:t xml:space="preserve">Глава 3. Планирование</w:t>
      </w:r>
    </w:p>
    <w:p>
      <w:pPr>
        <w:spacing w:after="200" w:before="200"/>
        <w:ind w:firstLine="709"/>
        <w:jc w:val="center"/>
      </w:pPr>
      <w:r>
        <w:rPr>
          <w:rFonts w:ascii="Arial" w:cs="Arial" w:eastAsia="Arial" w:hAnsi="Arial"/>
          <w:b/>
          <w:bCs/>
          <w:sz w:val="22"/>
          <w:szCs w:val="22"/>
        </w:rPr>
        <w:t xml:space="preserve">3.1. Цель и задачи</w:t>
      </w:r>
    </w:p>
    <w:p>
      <w:pPr>
        <w:spacing w:after="60"/>
        <w:ind w:firstLine="709"/>
        <w:jc w:val="both"/>
      </w:pPr>
      <w:r>
        <w:rPr>
          <w:rFonts w:ascii="Arial" w:cs="Arial" w:eastAsia="Arial" w:hAnsi="Arial"/>
          <w:sz w:val="22"/>
          <w:szCs w:val="22"/>
        </w:rPr>
        <w:t xml:space="preserve">Целью настоящей Концепции является содействие внешней торговле и обеспечение эффективности внешнеэкономической деятельности за счет повышения качества и результативности таможенного администрирования и внедрения современных инновационных проектов в таможенной сфере.</w:t>
      </w:r>
    </w:p>
    <w:p>
      <w:pPr>
        <w:spacing w:after="60"/>
        <w:ind w:firstLine="709"/>
        <w:jc w:val="both"/>
      </w:pPr>
      <w:r>
        <w:rPr>
          <w:rFonts w:ascii="Arial" w:cs="Arial" w:eastAsia="Arial" w:hAnsi="Arial"/>
          <w:sz w:val="22"/>
          <w:szCs w:val="22"/>
        </w:rPr>
        <w:t xml:space="preserve">Достижение цели будет обеспечено путем выполнения следующих поставленных задач:</w:t>
      </w:r>
    </w:p>
    <w:p>
      <w:pPr>
        <w:spacing w:after="60"/>
        <w:ind w:firstLine="709"/>
        <w:jc w:val="both"/>
      </w:pPr>
      <w:r>
        <w:rPr>
          <w:rFonts w:ascii="Arial" w:cs="Arial" w:eastAsia="Arial" w:hAnsi="Arial"/>
          <w:sz w:val="22"/>
          <w:szCs w:val="22"/>
        </w:rPr>
        <w:t xml:space="preserve">- совершенствование законодательной базы и нормативно-правовых актов для упрощения процедур торговли;</w:t>
      </w:r>
    </w:p>
    <w:p>
      <w:pPr>
        <w:spacing w:after="60"/>
        <w:ind w:firstLine="709"/>
        <w:jc w:val="both"/>
      </w:pPr>
      <w:r>
        <w:rPr>
          <w:rFonts w:ascii="Arial" w:cs="Arial" w:eastAsia="Arial" w:hAnsi="Arial"/>
          <w:sz w:val="22"/>
          <w:szCs w:val="22"/>
        </w:rPr>
        <w:t xml:space="preserve">- упрощение процедур и формальностей, направленных на содействие развитию торговли;</w:t>
      </w:r>
    </w:p>
    <w:p>
      <w:pPr>
        <w:spacing w:after="60"/>
        <w:ind w:firstLine="709"/>
        <w:jc w:val="both"/>
      </w:pPr>
      <w:r>
        <w:rPr>
          <w:rFonts w:ascii="Arial" w:cs="Arial" w:eastAsia="Arial" w:hAnsi="Arial"/>
          <w:sz w:val="22"/>
          <w:szCs w:val="22"/>
        </w:rPr>
        <w:t xml:space="preserve">- создание цифровой таможни с целью обеспечения оперативного управления таможенными процессами и прозрачности таможенной службы;</w:t>
      </w:r>
    </w:p>
    <w:p>
      <w:pPr>
        <w:spacing w:after="60"/>
        <w:ind w:firstLine="709"/>
        <w:jc w:val="both"/>
      </w:pPr>
      <w:r>
        <w:rPr>
          <w:rFonts w:ascii="Arial" w:cs="Arial" w:eastAsia="Arial" w:hAnsi="Arial"/>
          <w:sz w:val="22"/>
          <w:szCs w:val="22"/>
        </w:rPr>
        <w:t xml:space="preserve">- совершенствование системы управления и повышение кадрового потенциала;</w:t>
      </w:r>
    </w:p>
    <w:p>
      <w:pPr>
        <w:spacing w:after="60"/>
        <w:ind w:firstLine="709"/>
        <w:jc w:val="both"/>
      </w:pPr>
      <w:r>
        <w:rPr>
          <w:rFonts w:ascii="Arial" w:cs="Arial" w:eastAsia="Arial" w:hAnsi="Arial"/>
          <w:sz w:val="22"/>
          <w:szCs w:val="22"/>
        </w:rPr>
        <w:t xml:space="preserve">- развитие инфраструктуры таможенных объектов и оснащение современными техническими средствами.</w:t>
      </w:r>
    </w:p>
    <w:p>
      <w:pPr>
        <w:spacing w:after="200" w:before="200"/>
        <w:ind w:firstLine="709"/>
        <w:jc w:val="center"/>
      </w:pPr>
      <w:r>
        <w:rPr>
          <w:rFonts w:ascii="Arial" w:cs="Arial" w:eastAsia="Arial" w:hAnsi="Arial"/>
          <w:b/>
          <w:bCs/>
          <w:sz w:val="22"/>
          <w:szCs w:val="22"/>
        </w:rPr>
        <w:t xml:space="preserve">3.2. Направления и меры</w:t>
      </w:r>
    </w:p>
    <w:p>
      <w:pPr>
        <w:spacing w:after="60"/>
        <w:ind w:firstLine="709"/>
        <w:jc w:val="both"/>
      </w:pPr>
      <w:r>
        <w:rPr>
          <w:rFonts w:ascii="Arial" w:cs="Arial" w:eastAsia="Arial" w:hAnsi="Arial"/>
          <w:sz w:val="22"/>
          <w:szCs w:val="22"/>
        </w:rPr>
        <w:t xml:space="preserve">Для достижения поставленной цели и реализации указанных задач в настоящей Концепции предусмотрены нижеперечисленные направления, а также План мероприятий по реализации Концепции развития таможенной службы Кыргызской Республики на 2022-2024 годы (далее - План мероприятий).</w:t>
      </w:r>
    </w:p>
    <w:p>
      <w:pPr>
        <w:spacing w:after="60" w:before="200"/>
        <w:ind w:firstLine="709"/>
        <w:jc w:val="both"/>
      </w:pPr>
      <w:r>
        <w:rPr>
          <w:rFonts w:ascii="Arial" w:cs="Arial" w:eastAsia="Arial" w:hAnsi="Arial"/>
          <w:b/>
          <w:bCs/>
          <w:sz w:val="22"/>
          <w:szCs w:val="22"/>
        </w:rPr>
        <w:t xml:space="preserve">Законодательная база по упрощению торговли.</w:t>
      </w:r>
    </w:p>
    <w:p>
      <w:pPr>
        <w:spacing w:after="60"/>
        <w:ind w:firstLine="709"/>
        <w:jc w:val="both"/>
      </w:pPr>
      <w:r>
        <w:rPr>
          <w:rFonts w:ascii="Arial" w:cs="Arial" w:eastAsia="Arial" w:hAnsi="Arial"/>
          <w:sz w:val="22"/>
          <w:szCs w:val="22"/>
        </w:rPr>
        <w:t xml:space="preserve">Таможенная служба для улучшения качества таможенного администрирования должна фокусировать свое внимание на пунктах пропуска и местах таможенного оформления, в то время как функции по охране государственной границы и пресечению незаконного пересечения государственной границы должны быть делегированы другим соответствующим ведомствам.</w:t>
      </w:r>
    </w:p>
    <w:p>
      <w:pPr>
        <w:spacing w:after="60"/>
        <w:ind w:firstLine="709"/>
        <w:jc w:val="both"/>
      </w:pPr>
      <w:r>
        <w:rPr>
          <w:rFonts w:ascii="Arial" w:cs="Arial" w:eastAsia="Arial" w:hAnsi="Arial"/>
          <w:sz w:val="22"/>
          <w:szCs w:val="22"/>
        </w:rPr>
        <w:t xml:space="preserve">В целях упрощения государственного администрирования на границе необходимо передать функции по первичному документальному контролю и регистрации от других государственных контролирующих органов таможенной службе с использованием обязательного предварительного информирования о товарах и транспортных средствах, перемещающихся через государственную границу, организовать эффективную работу по взаимодействию государственных контролирующих органов с таможенной службой.</w:t>
      </w:r>
    </w:p>
    <w:p>
      <w:pPr>
        <w:spacing w:after="60"/>
        <w:ind w:firstLine="709"/>
        <w:jc w:val="both"/>
      </w:pPr>
      <w:r>
        <w:rPr>
          <w:rFonts w:ascii="Arial" w:cs="Arial" w:eastAsia="Arial" w:hAnsi="Arial"/>
          <w:sz w:val="22"/>
          <w:szCs w:val="22"/>
        </w:rPr>
        <w:t xml:space="preserve">Для успешной реализации мер в этом направлении потребуется принять ряд нормативных правовых актов, направленных на:</w:t>
      </w:r>
    </w:p>
    <w:p>
      <w:pPr>
        <w:spacing w:after="60"/>
        <w:ind w:firstLine="709"/>
        <w:jc w:val="both"/>
      </w:pPr>
      <w:r>
        <w:rPr>
          <w:rFonts w:ascii="Arial" w:cs="Arial" w:eastAsia="Arial" w:hAnsi="Arial"/>
          <w:sz w:val="22"/>
          <w:szCs w:val="22"/>
        </w:rPr>
        <w:t xml:space="preserve">- оптимизацию бизнес-процессов по взаимодействию контролирующих государственных органов с таможенной службой;</w:t>
      </w:r>
    </w:p>
    <w:p>
      <w:pPr>
        <w:spacing w:after="60"/>
        <w:ind w:firstLine="709"/>
        <w:jc w:val="both"/>
      </w:pPr>
      <w:r>
        <w:rPr>
          <w:rFonts w:ascii="Arial" w:cs="Arial" w:eastAsia="Arial" w:hAnsi="Arial"/>
          <w:sz w:val="22"/>
          <w:szCs w:val="22"/>
        </w:rPr>
        <w:t xml:space="preserve">- совершенствование технологической схемы взаимодействия пограничной и таможенной служб на основе безбумажной технологии;</w:t>
      </w:r>
    </w:p>
    <w:p>
      <w:pPr>
        <w:spacing w:after="60"/>
        <w:ind w:firstLine="709"/>
        <w:jc w:val="both"/>
      </w:pPr>
      <w:r>
        <w:rPr>
          <w:rFonts w:ascii="Arial" w:cs="Arial" w:eastAsia="Arial" w:hAnsi="Arial"/>
          <w:sz w:val="22"/>
          <w:szCs w:val="22"/>
        </w:rPr>
        <w:t xml:space="preserve">- совершенствование системы управления рисками в таможенном деле в целях упрощения таможенного контроля и содействие торговле;</w:t>
      </w:r>
    </w:p>
    <w:p>
      <w:pPr>
        <w:spacing w:after="60"/>
        <w:ind w:firstLine="709"/>
        <w:jc w:val="both"/>
      </w:pPr>
      <w:r>
        <w:rPr>
          <w:rFonts w:ascii="Arial" w:cs="Arial" w:eastAsia="Arial" w:hAnsi="Arial"/>
          <w:sz w:val="22"/>
          <w:szCs w:val="22"/>
        </w:rPr>
        <w:t xml:space="preserve">- упрощение торговли путем внедрения цифровых технологий;</w:t>
      </w:r>
    </w:p>
    <w:p>
      <w:pPr>
        <w:spacing w:after="60"/>
        <w:ind w:firstLine="709"/>
        <w:jc w:val="both"/>
      </w:pPr>
      <w:r>
        <w:rPr>
          <w:rFonts w:ascii="Arial" w:cs="Arial" w:eastAsia="Arial" w:hAnsi="Arial"/>
          <w:sz w:val="22"/>
          <w:szCs w:val="22"/>
        </w:rPr>
        <w:t xml:space="preserve">- ускорение процесса таможенного оформления.</w:t>
      </w:r>
    </w:p>
    <w:p>
      <w:pPr>
        <w:spacing w:after="60" w:before="200"/>
        <w:ind w:firstLine="709"/>
        <w:jc w:val="both"/>
      </w:pPr>
      <w:r>
        <w:rPr>
          <w:rFonts w:ascii="Arial" w:cs="Arial" w:eastAsia="Arial" w:hAnsi="Arial"/>
          <w:b/>
          <w:bCs/>
          <w:sz w:val="22"/>
          <w:szCs w:val="22"/>
        </w:rPr>
        <w:t xml:space="preserve">Упрощение таможенных процессов и Автоматизация таможенных процессов.</w:t>
      </w:r>
    </w:p>
    <w:p>
      <w:pPr>
        <w:spacing w:after="60"/>
        <w:ind w:firstLine="709"/>
        <w:jc w:val="both"/>
      </w:pPr>
      <w:r>
        <w:rPr>
          <w:rFonts w:ascii="Arial" w:cs="Arial" w:eastAsia="Arial" w:hAnsi="Arial"/>
          <w:sz w:val="22"/>
          <w:szCs w:val="22"/>
        </w:rPr>
        <w:t xml:space="preserve">Основные векторы реализации данного направления должны быть сконцентрированы на выполнении следующих мероприятий:</w:t>
      </w:r>
    </w:p>
    <w:p>
      <w:pPr>
        <w:spacing w:after="60"/>
        <w:ind w:firstLine="709"/>
        <w:jc w:val="both"/>
      </w:pPr>
      <w:r>
        <w:rPr>
          <w:rFonts w:ascii="Arial" w:cs="Arial" w:eastAsia="Arial" w:hAnsi="Arial"/>
          <w:sz w:val="22"/>
          <w:szCs w:val="22"/>
        </w:rPr>
        <w:t xml:space="preserve">- совершенствование нормативных правовых актов в таможенном деле;</w:t>
      </w:r>
    </w:p>
    <w:p>
      <w:pPr>
        <w:spacing w:after="60"/>
        <w:ind w:firstLine="709"/>
        <w:jc w:val="both"/>
      </w:pPr>
      <w:r>
        <w:rPr>
          <w:rFonts w:ascii="Arial" w:cs="Arial" w:eastAsia="Arial" w:hAnsi="Arial"/>
          <w:sz w:val="22"/>
          <w:szCs w:val="22"/>
        </w:rPr>
        <w:t xml:space="preserve">- совершенствование взаимодействия таможенных органов с заинтересованными сторонами;</w:t>
      </w:r>
    </w:p>
    <w:p>
      <w:pPr>
        <w:spacing w:after="60"/>
        <w:ind w:firstLine="709"/>
        <w:jc w:val="both"/>
      </w:pPr>
      <w:r>
        <w:rPr>
          <w:rFonts w:ascii="Arial" w:cs="Arial" w:eastAsia="Arial" w:hAnsi="Arial"/>
          <w:sz w:val="22"/>
          <w:szCs w:val="22"/>
        </w:rPr>
        <w:t xml:space="preserve">- организация ведения делопроизводства в электронном виде;</w:t>
      </w:r>
    </w:p>
    <w:p>
      <w:pPr>
        <w:spacing w:after="60"/>
        <w:ind w:firstLine="709"/>
        <w:jc w:val="both"/>
      </w:pPr>
      <w:r>
        <w:rPr>
          <w:rFonts w:ascii="Arial" w:cs="Arial" w:eastAsia="Arial" w:hAnsi="Arial"/>
          <w:sz w:val="22"/>
          <w:szCs w:val="22"/>
        </w:rPr>
        <w:t xml:space="preserve">- разработка Единой автоматизированной информационной системы таможенной службы (ЕАИС) на базе web-технологий.</w:t>
      </w:r>
    </w:p>
    <w:p>
      <w:pPr>
        <w:spacing w:after="60"/>
        <w:ind w:firstLine="709"/>
        <w:jc w:val="both"/>
      </w:pPr>
      <w:r>
        <w:rPr>
          <w:rFonts w:ascii="Arial" w:cs="Arial" w:eastAsia="Arial" w:hAnsi="Arial"/>
          <w:sz w:val="22"/>
          <w:szCs w:val="22"/>
        </w:rPr>
        <w:t xml:space="preserve">Развитие института цифровой таможни является одним из наиболее значимых направлений технологического развития внешнеэкономической деятельности за все время существования таможенной службы Кыргызской Республики.</w:t>
      </w:r>
    </w:p>
    <w:p>
      <w:pPr>
        <w:spacing w:after="60"/>
        <w:ind w:firstLine="709"/>
        <w:jc w:val="both"/>
      </w:pPr>
      <w:r>
        <w:rPr>
          <w:rFonts w:ascii="Arial" w:cs="Arial" w:eastAsia="Arial" w:hAnsi="Arial"/>
          <w:sz w:val="22"/>
          <w:szCs w:val="22"/>
        </w:rPr>
        <w:t xml:space="preserve">Главным элементом цифровизации таможенной службы должна стать разработка и внедрение единой информационной платформы ("Смарт "Бажы") на основе WEB-технологий по принципу "Customs-Business (С2В)", "Customs-Gove</w:t>
      </w:r>
      <w:r>
        <w:rPr>
          <w:rFonts w:ascii="Arial" w:cs="Arial" w:eastAsia="Arial" w:hAnsi="Arial"/>
          <w:sz w:val="22"/>
          <w:szCs w:val="22"/>
        </w:rPr>
        <w:t xml:space="preserve">rn</w:t>
      </w:r>
      <w:r>
        <w:rPr>
          <w:rFonts w:ascii="Arial" w:cs="Arial" w:eastAsia="Arial" w:hAnsi="Arial"/>
          <w:sz w:val="22"/>
          <w:szCs w:val="22"/>
        </w:rPr>
        <w:t xml:space="preserve">ment (C2G)" и "Customs-Customs (С2С)", включающая различные подсистемы, интеграцию таможенных и околотаможенных объектов в единую систему в целях ускорения таможенного оформления и повышения эффективности таможенного контроля, применение унифицированных форматов данных для участников информационного обмена с таможенными органами.</w:t>
      </w:r>
    </w:p>
    <w:p>
      <w:pPr>
        <w:spacing w:after="60"/>
        <w:ind w:firstLine="709"/>
        <w:jc w:val="both"/>
      </w:pPr>
      <w:r>
        <w:rPr>
          <w:rFonts w:ascii="Arial" w:cs="Arial" w:eastAsia="Arial" w:hAnsi="Arial"/>
          <w:sz w:val="22"/>
          <w:szCs w:val="22"/>
        </w:rPr>
        <w:t xml:space="preserve">В рамках содействия развитию внешней торговле необходимо провести автоматизацию процедур таможенного оформления и таможенного контроля, акцентировав внимание на применение документов и сведений в электронном виде, автоматизированной проверке документов и сведений, автоматической регистрации деклараций на товары и автоматическом выпуске товаров, без участия должностного лица таможенного органа.</w:t>
      </w:r>
    </w:p>
    <w:p>
      <w:pPr>
        <w:spacing w:after="60"/>
        <w:ind w:firstLine="709"/>
        <w:jc w:val="both"/>
      </w:pPr>
      <w:r>
        <w:rPr>
          <w:rFonts w:ascii="Arial" w:cs="Arial" w:eastAsia="Arial" w:hAnsi="Arial"/>
          <w:sz w:val="22"/>
          <w:szCs w:val="22"/>
        </w:rPr>
        <w:t xml:space="preserve">Улучшение условий для участников внешнеэкономической деятельности по уплате таможенных платежей планируется реализовать в безналичной форме, путем расширения межбанковского взаимодействия с применением интернет банкинга, мобильного банкинга и платежных терминалов.</w:t>
      </w:r>
    </w:p>
    <w:p>
      <w:pPr>
        <w:spacing w:after="60"/>
        <w:ind w:firstLine="709"/>
        <w:jc w:val="both"/>
      </w:pPr>
      <w:r>
        <w:rPr>
          <w:rFonts w:ascii="Arial" w:cs="Arial" w:eastAsia="Arial" w:hAnsi="Arial"/>
          <w:sz w:val="22"/>
          <w:szCs w:val="22"/>
        </w:rPr>
        <w:t xml:space="preserve">Наличие предварительных данных, обмениваемых между таможенными органами торгующих стран - является основным условием для полноценного функционирования ЕАИС.</w:t>
      </w:r>
    </w:p>
    <w:p>
      <w:pPr>
        <w:spacing w:after="60"/>
        <w:ind w:firstLine="709"/>
        <w:jc w:val="both"/>
      </w:pPr>
      <w:r>
        <w:rPr>
          <w:rFonts w:ascii="Arial" w:cs="Arial" w:eastAsia="Arial" w:hAnsi="Arial"/>
          <w:sz w:val="22"/>
          <w:szCs w:val="22"/>
        </w:rPr>
        <w:t xml:space="preserve">Для этого будут использованы возможности двустороннего и многостороннего сотрудничества в рамках организации обмена предварительными данными между таможенными органами стран-партнеров, что позволит:</w:t>
      </w:r>
    </w:p>
    <w:p>
      <w:pPr>
        <w:spacing w:after="60"/>
        <w:ind w:firstLine="709"/>
        <w:jc w:val="both"/>
      </w:pPr>
      <w:r>
        <w:rPr>
          <w:rFonts w:ascii="Arial" w:cs="Arial" w:eastAsia="Arial" w:hAnsi="Arial"/>
          <w:sz w:val="22"/>
          <w:szCs w:val="22"/>
        </w:rPr>
        <w:t xml:space="preserve">- в значительной степени уменьшить погрешности при зеркальном сопоставлении данных по импорту и экспорту между торгующими странами;</w:t>
      </w:r>
    </w:p>
    <w:p>
      <w:pPr>
        <w:spacing w:after="60"/>
        <w:ind w:firstLine="709"/>
        <w:jc w:val="both"/>
      </w:pPr>
      <w:r>
        <w:rPr>
          <w:rFonts w:ascii="Arial" w:cs="Arial" w:eastAsia="Arial" w:hAnsi="Arial"/>
          <w:sz w:val="22"/>
          <w:szCs w:val="22"/>
        </w:rPr>
        <w:t xml:space="preserve">- выявить признаки коррупционных схем по укрытию таможенных и налоговых платежей в республиканский бюджет;</w:t>
      </w:r>
    </w:p>
    <w:p>
      <w:pPr>
        <w:spacing w:after="60"/>
        <w:ind w:firstLine="709"/>
        <w:jc w:val="both"/>
      </w:pPr>
      <w:r>
        <w:rPr>
          <w:rFonts w:ascii="Arial" w:cs="Arial" w:eastAsia="Arial" w:hAnsi="Arial"/>
          <w:sz w:val="22"/>
          <w:szCs w:val="22"/>
        </w:rPr>
        <w:t xml:space="preserve">- определить группы товаров, являющихся предметом таможенного правонарушения и их причины, для внесения соответствующих рекомендаций в государственные органы.</w:t>
      </w:r>
    </w:p>
    <w:p>
      <w:pPr>
        <w:spacing w:after="60"/>
        <w:ind w:firstLine="709"/>
        <w:jc w:val="both"/>
      </w:pPr>
      <w:r>
        <w:rPr>
          <w:rFonts w:ascii="Arial" w:cs="Arial" w:eastAsia="Arial" w:hAnsi="Arial"/>
          <w:sz w:val="22"/>
          <w:szCs w:val="22"/>
        </w:rPr>
        <w:t xml:space="preserve">Для улучшения качества околотаможенных услуг требуется уделить внимание на создание благоприятных условий для реализации программы уполномоченных экономических операторов (УЭО) в соответствии с Рамочными стандартами безопасности и упрощения международной торговли Всемирной таможенной организации и развитию института таможенных представителей.</w:t>
      </w:r>
    </w:p>
    <w:p>
      <w:pPr>
        <w:spacing w:after="60" w:before="200"/>
        <w:ind w:firstLine="709"/>
        <w:jc w:val="both"/>
      </w:pPr>
      <w:r>
        <w:rPr>
          <w:rFonts w:ascii="Arial" w:cs="Arial" w:eastAsia="Arial" w:hAnsi="Arial"/>
          <w:b/>
          <w:bCs/>
          <w:sz w:val="22"/>
          <w:szCs w:val="22"/>
        </w:rPr>
        <w:t xml:space="preserve">Система управления рисками.</w:t>
      </w:r>
    </w:p>
    <w:p>
      <w:pPr>
        <w:spacing w:after="60"/>
        <w:ind w:firstLine="709"/>
        <w:jc w:val="both"/>
      </w:pPr>
      <w:r>
        <w:rPr>
          <w:rFonts w:ascii="Arial" w:cs="Arial" w:eastAsia="Arial" w:hAnsi="Arial"/>
          <w:sz w:val="22"/>
          <w:szCs w:val="22"/>
        </w:rPr>
        <w:t xml:space="preserve">Система управлениями рисками, как центральное звено применения форм таможенного контроля, должна стать эффективным инструментом таможенного администрирования начиная с прибытия на границу и заканчивая выпуском товаров.</w:t>
      </w:r>
    </w:p>
    <w:p>
      <w:pPr>
        <w:spacing w:after="60"/>
        <w:ind w:firstLine="709"/>
        <w:jc w:val="both"/>
      </w:pPr>
      <w:r>
        <w:rPr>
          <w:rFonts w:ascii="Arial" w:cs="Arial" w:eastAsia="Arial" w:hAnsi="Arial"/>
          <w:sz w:val="22"/>
          <w:szCs w:val="22"/>
        </w:rPr>
        <w:t xml:space="preserve">В этом направлении основные усилия должны быть сконцентрированы на автоматизации процессов выявления рисков на всех стадиях таможенных операций (при получении предварительной информации, при их прибытии в пункт пропуска, при декларировании и проверках после выпуска товара), совершенствовании субъектно-ориентированной модели системы управления рисками (категорирование участников внешнеэкономической деятельности по уровням риска) с упором на минимизацию проведения контроля к лицам, отнесенным к категории низкого уровня риска.</w:t>
      </w:r>
    </w:p>
    <w:p>
      <w:pPr>
        <w:spacing w:after="60"/>
        <w:ind w:firstLine="709"/>
        <w:jc w:val="both"/>
      </w:pPr>
      <w:r>
        <w:rPr>
          <w:rFonts w:ascii="Arial" w:cs="Arial" w:eastAsia="Arial" w:hAnsi="Arial"/>
          <w:sz w:val="22"/>
          <w:szCs w:val="22"/>
        </w:rPr>
        <w:t xml:space="preserve">В рамках реализации цифровой таможенной платформы необходимо разработать и запустить передовую СУР, представляющую из себя отдельный модуль системы, работающий на основе генерируемых данных как внутри таможенной службы, так и использующую данные из государственных органов и других заинтересованных сторон (налоговая служба, Социальный фонд, Министерство внутренних дел, Генеральная прокуратура, Открытое акционерное общество "Международный аэропорт "Манас", Государственное предприятие "Кыргыз темир жолу" и др.).</w:t>
      </w:r>
    </w:p>
    <w:p>
      <w:pPr>
        <w:spacing w:after="60"/>
        <w:ind w:firstLine="709"/>
        <w:jc w:val="both"/>
      </w:pPr>
      <w:r>
        <w:rPr>
          <w:rFonts w:ascii="Arial" w:cs="Arial" w:eastAsia="Arial" w:hAnsi="Arial"/>
          <w:sz w:val="22"/>
          <w:szCs w:val="22"/>
        </w:rPr>
        <w:t xml:space="preserve">Технологии, которые будут применяться в разработке и запуске СУР, позволят определять категории участников внешнеэкономической деятельности (далее - ВЭД), в отношении которых могут не применяться или частично применяться отдельные формы таможенного контроля на основе регулярно обновляемой автоматизированной СУР, максимально минимизировать варианты человеческого фактора на всем процессе таможенного оформления на основе жестких рекомендаций генерируемых СУР.</w:t>
      </w:r>
    </w:p>
    <w:p>
      <w:pPr>
        <w:spacing w:after="60" w:before="200"/>
        <w:ind w:firstLine="709"/>
        <w:jc w:val="both"/>
      </w:pPr>
      <w:r>
        <w:rPr>
          <w:rFonts w:ascii="Arial" w:cs="Arial" w:eastAsia="Arial" w:hAnsi="Arial"/>
          <w:b/>
          <w:bCs/>
          <w:sz w:val="22"/>
          <w:szCs w:val="22"/>
        </w:rPr>
        <w:t xml:space="preserve">Кадровый потенциал.</w:t>
      </w:r>
    </w:p>
    <w:p>
      <w:pPr>
        <w:spacing w:after="60"/>
        <w:ind w:firstLine="709"/>
        <w:jc w:val="both"/>
      </w:pPr>
      <w:r>
        <w:rPr>
          <w:rFonts w:ascii="Arial" w:cs="Arial" w:eastAsia="Arial" w:hAnsi="Arial"/>
          <w:sz w:val="22"/>
          <w:szCs w:val="22"/>
        </w:rPr>
        <w:t xml:space="preserve">Одним из ключевых элементов реформирования таможенной службы являются структурные преобразования, повышение роли и влияния профессиональной подготовки кадров на конечные результаты деятельности таможенных органов.</w:t>
      </w:r>
    </w:p>
    <w:p>
      <w:pPr>
        <w:spacing w:after="60"/>
        <w:ind w:firstLine="709"/>
        <w:jc w:val="both"/>
      </w:pPr>
      <w:r>
        <w:rPr>
          <w:rFonts w:ascii="Arial" w:cs="Arial" w:eastAsia="Arial" w:hAnsi="Arial"/>
          <w:sz w:val="22"/>
          <w:szCs w:val="22"/>
        </w:rPr>
        <w:t xml:space="preserve">Повышение эффективности работы таможенной службы и ее совершенствование в значительной мере определяется организованностью системы управления, зависящей от ее структуры и деятельности всех элементов.</w:t>
      </w:r>
    </w:p>
    <w:p>
      <w:pPr>
        <w:spacing w:after="60"/>
        <w:ind w:firstLine="709"/>
        <w:jc w:val="both"/>
      </w:pPr>
      <w:r>
        <w:rPr>
          <w:rFonts w:ascii="Arial" w:cs="Arial" w:eastAsia="Arial" w:hAnsi="Arial"/>
          <w:sz w:val="22"/>
          <w:szCs w:val="22"/>
        </w:rPr>
        <w:t xml:space="preserve">Необходимость совершенствования системы управления на современном этапе определяется многими факторами. Это и оптимизация численности аппарата управления, его функций и организационной структуры, внедрение автоматизированных систем управления, разработка систем принятия решения.</w:t>
      </w:r>
    </w:p>
    <w:p>
      <w:pPr>
        <w:spacing w:after="60"/>
        <w:ind w:firstLine="709"/>
        <w:jc w:val="both"/>
      </w:pPr>
      <w:r>
        <w:rPr>
          <w:rFonts w:ascii="Arial" w:cs="Arial" w:eastAsia="Arial" w:hAnsi="Arial"/>
          <w:sz w:val="22"/>
          <w:szCs w:val="22"/>
        </w:rPr>
        <w:t xml:space="preserve">В этом направлении кадровая политика будет сфокусирована на оптимизации структуры и штатной численности таможенной службы с учетом автоматизации рабочих процессов, совершенствовании механизма подбора и расстановки персонала, обеспечении оптимальной нагрузки на должностных лиц по основным видам деятельности таможенных органов, повышении профессионального уровня кадрового состава, создании центров электронного декларирования.</w:t>
      </w:r>
    </w:p>
    <w:p>
      <w:pPr>
        <w:spacing w:after="60"/>
        <w:ind w:firstLine="709"/>
        <w:jc w:val="both"/>
      </w:pPr>
      <w:r>
        <w:rPr>
          <w:rFonts w:ascii="Arial" w:cs="Arial" w:eastAsia="Arial" w:hAnsi="Arial"/>
          <w:sz w:val="22"/>
          <w:szCs w:val="22"/>
        </w:rPr>
        <w:t xml:space="preserve">Проведение периодических тренингов и семинаров по подготовке и переподготовке таможенных сотрудников по использованию продуктов новых проектов и технологий с привлечением местных и международных тренеров.</w:t>
      </w:r>
    </w:p>
    <w:p>
      <w:pPr>
        <w:spacing w:after="60" w:before="200"/>
        <w:ind w:firstLine="709"/>
        <w:jc w:val="both"/>
      </w:pPr>
      <w:r>
        <w:rPr>
          <w:rFonts w:ascii="Arial" w:cs="Arial" w:eastAsia="Arial" w:hAnsi="Arial"/>
          <w:b/>
          <w:bCs/>
          <w:sz w:val="22"/>
          <w:szCs w:val="22"/>
        </w:rPr>
        <w:t xml:space="preserve">Развитие таможенной инфраструктуры.</w:t>
      </w:r>
    </w:p>
    <w:p>
      <w:pPr>
        <w:spacing w:after="60"/>
        <w:ind w:firstLine="709"/>
        <w:jc w:val="both"/>
      </w:pPr>
      <w:r>
        <w:rPr>
          <w:rFonts w:ascii="Arial" w:cs="Arial" w:eastAsia="Arial" w:hAnsi="Arial"/>
          <w:sz w:val="22"/>
          <w:szCs w:val="22"/>
        </w:rPr>
        <w:t xml:space="preserve">Модернизация пунктов пропуска и мест таможенного оформления с внедрением инновационных технологий является одним из основных факторов для реализации данного направления.</w:t>
      </w:r>
    </w:p>
    <w:p>
      <w:pPr>
        <w:spacing w:after="60"/>
        <w:ind w:firstLine="709"/>
        <w:jc w:val="both"/>
      </w:pPr>
      <w:r>
        <w:rPr>
          <w:rFonts w:ascii="Arial" w:cs="Arial" w:eastAsia="Arial" w:hAnsi="Arial"/>
          <w:sz w:val="22"/>
          <w:szCs w:val="22"/>
        </w:rPr>
        <w:t xml:space="preserve">В данном направлении необходимо разработать проектно-архитектурное планирование пунктов пропуска и мест таможенного оформления в соответствии с международными стандартами с применением современных технических средств таможенного контроля, включая стационарные, весогабаритные, мобильные, портативные сканеры, средства радиационного и весогабаритного контроля, видеонаблюдения и других передовых инновационных технологий и интеграция их в ЕАИС.</w:t>
      </w:r>
    </w:p>
    <w:p>
      <w:pPr>
        <w:spacing w:after="60"/>
        <w:ind w:firstLine="709"/>
        <w:jc w:val="both"/>
      </w:pPr>
      <w:r>
        <w:rPr>
          <w:rFonts w:ascii="Arial" w:cs="Arial" w:eastAsia="Arial" w:hAnsi="Arial"/>
          <w:sz w:val="22"/>
          <w:szCs w:val="22"/>
        </w:rPr>
        <w:t xml:space="preserve">С целью организации и проведения исследований, осуществляемых таможенными экспертами с использованием специальных научных познаний для решения задач в области таможенного регулирования, а также анализа всех видов товаров для целей таможенных квалификаций, потребуется создание центральной таможенной лаборатории.</w:t>
      </w:r>
    </w:p>
    <w:p>
      <w:pPr>
        <w:spacing w:after="200" w:before="200"/>
        <w:ind w:firstLine="709"/>
        <w:jc w:val="center"/>
      </w:pPr>
      <w:r>
        <w:rPr>
          <w:rFonts w:ascii="Arial" w:cs="Arial" w:eastAsia="Arial" w:hAnsi="Arial"/>
          <w:b/>
          <w:bCs/>
          <w:sz w:val="22"/>
          <w:szCs w:val="22"/>
        </w:rPr>
        <w:t xml:space="preserve">Глава 4. Этапы реализации концепции</w:t>
      </w:r>
    </w:p>
    <w:p>
      <w:pPr>
        <w:spacing w:after="60"/>
        <w:ind w:firstLine="709"/>
        <w:jc w:val="both"/>
      </w:pPr>
      <w:r>
        <w:rPr>
          <w:rFonts w:ascii="Arial" w:cs="Arial" w:eastAsia="Arial" w:hAnsi="Arial"/>
          <w:sz w:val="22"/>
          <w:szCs w:val="22"/>
        </w:rPr>
        <w:t xml:space="preserve">Реализация настоящей Концепции состоит из 3-х этапов.</w:t>
      </w:r>
    </w:p>
    <w:p>
      <w:pPr>
        <w:spacing w:after="60"/>
        <w:ind w:firstLine="709"/>
        <w:jc w:val="both"/>
      </w:pPr>
      <w:r>
        <w:rPr>
          <w:rFonts w:ascii="Arial" w:cs="Arial" w:eastAsia="Arial" w:hAnsi="Arial"/>
          <w:sz w:val="22"/>
          <w:szCs w:val="22"/>
        </w:rPr>
        <w:t xml:space="preserve">На первом этапе (Этап 1) планируются выполнение следующих мероприятий:</w:t>
      </w:r>
    </w:p>
    <w:p>
      <w:pPr>
        <w:spacing w:after="60"/>
        <w:ind w:firstLine="709"/>
        <w:jc w:val="both"/>
      </w:pPr>
      <w:r>
        <w:rPr>
          <w:rFonts w:ascii="Arial" w:cs="Arial" w:eastAsia="Arial" w:hAnsi="Arial"/>
          <w:sz w:val="22"/>
          <w:szCs w:val="22"/>
        </w:rPr>
        <w:t xml:space="preserve">- передача полномочий государственных контролирующих органов таможенной службе в пунктах пропуска по проверке товаров и транспортных средств по принципу "Одного окна";</w:t>
      </w:r>
    </w:p>
    <w:p>
      <w:pPr>
        <w:spacing w:after="60"/>
        <w:ind w:firstLine="709"/>
        <w:jc w:val="both"/>
      </w:pPr>
      <w:r>
        <w:rPr>
          <w:rFonts w:ascii="Arial" w:cs="Arial" w:eastAsia="Arial" w:hAnsi="Arial"/>
          <w:sz w:val="22"/>
          <w:szCs w:val="22"/>
        </w:rPr>
        <w:t xml:space="preserve">- разработка и внедрение механизма "Одного окна" на пунктах пропуска, который позволит оптимизировать и улучшить взаимодействие таможенной службы с государственными контролирующими органами (в том числе путем внедрения возможности обмена документами и сведениями в формате "онлайн");</w:t>
      </w:r>
    </w:p>
    <w:p>
      <w:pPr>
        <w:spacing w:after="60"/>
        <w:ind w:firstLine="709"/>
        <w:jc w:val="both"/>
      </w:pPr>
      <w:r>
        <w:rPr>
          <w:rFonts w:ascii="Arial" w:cs="Arial" w:eastAsia="Arial" w:hAnsi="Arial"/>
          <w:sz w:val="22"/>
          <w:szCs w:val="22"/>
        </w:rPr>
        <w:t xml:space="preserve">- внедрение модуля "Электронные разрешительные документы" системы ЕАИС, обеспечивающего обмен информациями между государственными контролирующими органами и таможенной службой;</w:t>
      </w:r>
    </w:p>
    <w:p>
      <w:pPr>
        <w:spacing w:after="60"/>
        <w:ind w:firstLine="709"/>
        <w:jc w:val="both"/>
      </w:pPr>
      <w:r>
        <w:rPr>
          <w:rFonts w:ascii="Arial" w:cs="Arial" w:eastAsia="Arial" w:hAnsi="Arial"/>
          <w:sz w:val="22"/>
          <w:szCs w:val="22"/>
        </w:rPr>
        <w:t xml:space="preserve">- внедрение системы корпоративного сертификационного центра электронной подписи "э-Подпись" для должностных лиц таможенных органов;</w:t>
      </w:r>
    </w:p>
    <w:p>
      <w:pPr>
        <w:spacing w:after="60"/>
        <w:ind w:firstLine="709"/>
        <w:jc w:val="both"/>
      </w:pPr>
      <w:r>
        <w:rPr>
          <w:rFonts w:ascii="Arial" w:cs="Arial" w:eastAsia="Arial" w:hAnsi="Arial"/>
          <w:sz w:val="22"/>
          <w:szCs w:val="22"/>
        </w:rPr>
        <w:t xml:space="preserve">- автоматизация таможенных процессов и внедрение модуля "Регистрация" ЕАИС в пунктах пропуска;</w:t>
      </w:r>
    </w:p>
    <w:p>
      <w:pPr>
        <w:spacing w:after="60"/>
        <w:ind w:firstLine="709"/>
        <w:jc w:val="both"/>
      </w:pPr>
      <w:r>
        <w:rPr>
          <w:rFonts w:ascii="Arial" w:cs="Arial" w:eastAsia="Arial" w:hAnsi="Arial"/>
          <w:sz w:val="22"/>
          <w:szCs w:val="22"/>
        </w:rPr>
        <w:t xml:space="preserve">- обмен предварительными данными между таможенными органами стран-партнеров;</w:t>
      </w:r>
    </w:p>
    <w:p>
      <w:pPr>
        <w:spacing w:after="60"/>
        <w:ind w:firstLine="709"/>
        <w:jc w:val="both"/>
      </w:pPr>
      <w:r>
        <w:rPr>
          <w:rFonts w:ascii="Arial" w:cs="Arial" w:eastAsia="Arial" w:hAnsi="Arial"/>
          <w:sz w:val="22"/>
          <w:szCs w:val="22"/>
        </w:rPr>
        <w:t xml:space="preserve">- представление предварительных информаций в таможенные органы участниками ВЭД;</w:t>
      </w:r>
    </w:p>
    <w:p>
      <w:pPr>
        <w:spacing w:after="60"/>
        <w:ind w:firstLine="709"/>
        <w:jc w:val="both"/>
      </w:pPr>
      <w:r>
        <w:rPr>
          <w:rFonts w:ascii="Arial" w:cs="Arial" w:eastAsia="Arial" w:hAnsi="Arial"/>
          <w:sz w:val="22"/>
          <w:szCs w:val="22"/>
        </w:rPr>
        <w:t xml:space="preserve">- внедрение проекта по доставке товаров между таможенными органами путем применения GPS технологий;</w:t>
      </w:r>
    </w:p>
    <w:p>
      <w:pPr>
        <w:spacing w:after="60"/>
        <w:ind w:firstLine="709"/>
        <w:jc w:val="both"/>
      </w:pPr>
      <w:r>
        <w:rPr>
          <w:rFonts w:ascii="Arial" w:cs="Arial" w:eastAsia="Arial" w:hAnsi="Arial"/>
          <w:sz w:val="22"/>
          <w:szCs w:val="22"/>
        </w:rPr>
        <w:t xml:space="preserve">- внедрение модуля "э-Кадры" системы "ERP systems" ("Enterprise resource planning systems" ("система "Программа планирования ресурсов") (далее - "ERP systems").</w:t>
      </w:r>
    </w:p>
    <w:p>
      <w:pPr>
        <w:spacing w:after="60"/>
        <w:ind w:firstLine="709"/>
        <w:jc w:val="both"/>
      </w:pPr>
      <w:r>
        <w:rPr>
          <w:rFonts w:ascii="Arial" w:cs="Arial" w:eastAsia="Arial" w:hAnsi="Arial"/>
          <w:sz w:val="22"/>
          <w:szCs w:val="22"/>
        </w:rPr>
        <w:t xml:space="preserve">На втором этапе (Этап 2):</w:t>
      </w:r>
    </w:p>
    <w:p>
      <w:pPr>
        <w:spacing w:after="60"/>
        <w:ind w:firstLine="709"/>
        <w:jc w:val="both"/>
      </w:pPr>
      <w:r>
        <w:rPr>
          <w:rFonts w:ascii="Arial" w:cs="Arial" w:eastAsia="Arial" w:hAnsi="Arial"/>
          <w:sz w:val="22"/>
          <w:szCs w:val="22"/>
        </w:rPr>
        <w:t xml:space="preserve">- внедрение модуля "Электронные разрешительные документы" системы ЕАИС, обеспечивающего обмен информациями между государственными органами и таможенной службой;</w:t>
      </w:r>
    </w:p>
    <w:p>
      <w:pPr>
        <w:spacing w:after="60"/>
        <w:ind w:firstLine="709"/>
        <w:jc w:val="both"/>
      </w:pPr>
      <w:r>
        <w:rPr>
          <w:rFonts w:ascii="Arial" w:cs="Arial" w:eastAsia="Arial" w:hAnsi="Arial"/>
          <w:sz w:val="22"/>
          <w:szCs w:val="22"/>
        </w:rPr>
        <w:t xml:space="preserve">- внедрение модуля "э-Декларация" ЕАИС для таможенного оформления товаров и транспортных средств;</w:t>
      </w:r>
    </w:p>
    <w:p>
      <w:pPr>
        <w:spacing w:after="60"/>
        <w:ind w:firstLine="709"/>
        <w:jc w:val="both"/>
      </w:pPr>
      <w:r>
        <w:rPr>
          <w:rFonts w:ascii="Arial" w:cs="Arial" w:eastAsia="Arial" w:hAnsi="Arial"/>
          <w:sz w:val="22"/>
          <w:szCs w:val="22"/>
        </w:rPr>
        <w:t xml:space="preserve">- внедрение модуля "э-Документ" системы "ERP systems";</w:t>
      </w:r>
    </w:p>
    <w:p>
      <w:pPr>
        <w:spacing w:after="60"/>
        <w:ind w:firstLine="709"/>
        <w:jc w:val="both"/>
      </w:pPr>
      <w:r>
        <w:rPr>
          <w:rFonts w:ascii="Arial" w:cs="Arial" w:eastAsia="Arial" w:hAnsi="Arial"/>
          <w:sz w:val="22"/>
          <w:szCs w:val="22"/>
        </w:rPr>
        <w:t xml:space="preserve">- внедрение автоматизированной системы считывания номеров и управления шлагбаумами (TRS (Time Release Study) - Измерение времени выпуска) для автоматического измерения времени выпуска транспортных средств в пунктах пропуска.</w:t>
      </w:r>
    </w:p>
    <w:p>
      <w:pPr>
        <w:spacing w:after="60"/>
        <w:ind w:firstLine="709"/>
        <w:jc w:val="both"/>
      </w:pPr>
      <w:r>
        <w:rPr>
          <w:rFonts w:ascii="Arial" w:cs="Arial" w:eastAsia="Arial" w:hAnsi="Arial"/>
          <w:sz w:val="22"/>
          <w:szCs w:val="22"/>
        </w:rPr>
        <w:t xml:space="preserve">На третьем этапе (Этап 3):</w:t>
      </w:r>
    </w:p>
    <w:p>
      <w:pPr>
        <w:spacing w:after="60"/>
        <w:ind w:firstLine="709"/>
        <w:jc w:val="both"/>
      </w:pPr>
      <w:r>
        <w:rPr>
          <w:rFonts w:ascii="Arial" w:cs="Arial" w:eastAsia="Arial" w:hAnsi="Arial"/>
          <w:sz w:val="22"/>
          <w:szCs w:val="22"/>
        </w:rPr>
        <w:t xml:space="preserve">- создание цифровой таможни "е-Customs" ("е-Таможня") (далее - "е-Customs") на базе ЕАИС;</w:t>
      </w:r>
    </w:p>
    <w:p>
      <w:pPr>
        <w:spacing w:after="60"/>
        <w:ind w:firstLine="709"/>
        <w:jc w:val="both"/>
      </w:pPr>
      <w:r>
        <w:rPr>
          <w:rFonts w:ascii="Arial" w:cs="Arial" w:eastAsia="Arial" w:hAnsi="Arial"/>
          <w:sz w:val="22"/>
          <w:szCs w:val="22"/>
        </w:rPr>
        <w:t xml:space="preserve">- совершенствование и применение автоматизированной СУР;</w:t>
      </w:r>
    </w:p>
    <w:p>
      <w:pPr>
        <w:spacing w:after="60"/>
        <w:ind w:firstLine="709"/>
        <w:jc w:val="both"/>
      </w:pPr>
      <w:r>
        <w:rPr>
          <w:rFonts w:ascii="Arial" w:cs="Arial" w:eastAsia="Arial" w:hAnsi="Arial"/>
          <w:sz w:val="22"/>
          <w:szCs w:val="22"/>
        </w:rPr>
        <w:t xml:space="preserve">- автоматизация процессов делопроизводства таможенной службы.</w:t>
      </w:r>
    </w:p>
    <w:p>
      <w:pPr>
        <w:spacing w:after="200" w:before="200"/>
        <w:ind w:firstLine="709"/>
        <w:jc w:val="center"/>
      </w:pPr>
      <w:r>
        <w:rPr>
          <w:rFonts w:ascii="Arial" w:cs="Arial" w:eastAsia="Arial" w:hAnsi="Arial"/>
          <w:b/>
          <w:bCs/>
          <w:sz w:val="22"/>
          <w:szCs w:val="22"/>
        </w:rPr>
        <w:t xml:space="preserve">Глава 5. Ожидаемый результат</w:t>
      </w:r>
    </w:p>
    <w:p>
      <w:pPr>
        <w:spacing w:after="60"/>
        <w:ind w:firstLine="709"/>
        <w:jc w:val="both"/>
      </w:pPr>
      <w:r>
        <w:rPr>
          <w:rFonts w:ascii="Arial" w:cs="Arial" w:eastAsia="Arial" w:hAnsi="Arial"/>
          <w:sz w:val="22"/>
          <w:szCs w:val="22"/>
        </w:rPr>
        <w:t xml:space="preserve">По мере реализации настоящей Концепции предполагается достижение следующих общих результатов:</w:t>
      </w:r>
    </w:p>
    <w:p>
      <w:pPr>
        <w:spacing w:after="60"/>
        <w:ind w:firstLine="709"/>
        <w:jc w:val="both"/>
      </w:pPr>
      <w:r>
        <w:rPr>
          <w:rFonts w:ascii="Arial" w:cs="Arial" w:eastAsia="Arial" w:hAnsi="Arial"/>
          <w:sz w:val="22"/>
          <w:szCs w:val="22"/>
        </w:rPr>
        <w:t xml:space="preserve">- повышение уровня торгового оборота путем упрощения контрольных мер по проверке товаров и транспортных средств в пунктах пропуска и местах таможенного оформления;</w:t>
      </w:r>
    </w:p>
    <w:p>
      <w:pPr>
        <w:spacing w:after="60"/>
        <w:ind w:firstLine="709"/>
        <w:jc w:val="both"/>
      </w:pPr>
      <w:r>
        <w:rPr>
          <w:rFonts w:ascii="Arial" w:cs="Arial" w:eastAsia="Arial" w:hAnsi="Arial"/>
          <w:sz w:val="22"/>
          <w:szCs w:val="22"/>
        </w:rPr>
        <w:t xml:space="preserve">- повышение эффективности прогнозирования и администрирования таможенных платежей;</w:t>
      </w:r>
    </w:p>
    <w:p>
      <w:pPr>
        <w:spacing w:after="60"/>
        <w:ind w:firstLine="709"/>
        <w:jc w:val="both"/>
      </w:pPr>
      <w:r>
        <w:rPr>
          <w:rFonts w:ascii="Arial" w:cs="Arial" w:eastAsia="Arial" w:hAnsi="Arial"/>
          <w:sz w:val="22"/>
          <w:szCs w:val="22"/>
        </w:rPr>
        <w:t xml:space="preserve">- создание единого стандарта по таможенному оформлению, исключающего субъективные факторы в таможенном деле;</w:t>
      </w:r>
    </w:p>
    <w:p>
      <w:pPr>
        <w:spacing w:after="60"/>
        <w:ind w:firstLine="709"/>
        <w:jc w:val="both"/>
      </w:pPr>
      <w:r>
        <w:rPr>
          <w:rFonts w:ascii="Arial" w:cs="Arial" w:eastAsia="Arial" w:hAnsi="Arial"/>
          <w:sz w:val="22"/>
          <w:szCs w:val="22"/>
        </w:rPr>
        <w:t xml:space="preserve">- передача полномочий государственных контролирующих органов таможенной службе в пунктах пропуска по проверке товаров и транспортных средств по принципу "Одного окна";</w:t>
      </w:r>
    </w:p>
    <w:p>
      <w:pPr>
        <w:spacing w:after="60"/>
        <w:ind w:firstLine="709"/>
        <w:jc w:val="both"/>
      </w:pPr>
      <w:r>
        <w:rPr>
          <w:rFonts w:ascii="Arial" w:cs="Arial" w:eastAsia="Arial" w:hAnsi="Arial"/>
          <w:sz w:val="22"/>
          <w:szCs w:val="22"/>
        </w:rPr>
        <w:t xml:space="preserve">- создание благоприятных условий для взаимодействия таможенных органов и участников ВЭД с применением "Личного кабинета участника внешнеэкономической деятельности" с целью минимизации контактов между участниками ВЭД и таможенными органами;</w:t>
      </w:r>
    </w:p>
    <w:p>
      <w:pPr>
        <w:spacing w:after="60"/>
        <w:ind w:firstLine="709"/>
        <w:jc w:val="both"/>
      </w:pPr>
      <w:r>
        <w:rPr>
          <w:rFonts w:ascii="Arial" w:cs="Arial" w:eastAsia="Arial" w:hAnsi="Arial"/>
          <w:sz w:val="22"/>
          <w:szCs w:val="22"/>
        </w:rPr>
        <w:t xml:space="preserve">- повышение пропускной способности пунктов пропуска путем взаимодействия государственных органов по обмену разрешительных документов на основе безбумажной технологии;</w:t>
      </w:r>
    </w:p>
    <w:p>
      <w:pPr>
        <w:spacing w:after="60"/>
        <w:ind w:firstLine="709"/>
        <w:jc w:val="both"/>
      </w:pPr>
      <w:r>
        <w:rPr>
          <w:rFonts w:ascii="Arial" w:cs="Arial" w:eastAsia="Arial" w:hAnsi="Arial"/>
          <w:sz w:val="22"/>
          <w:szCs w:val="22"/>
        </w:rPr>
        <w:t xml:space="preserve">- оптимизация и улучшение взаимодействия таможенной службы с государственными контролирующими органами на пунктах пропуска посредством механизма "Одного окна", который позволит осуществлять обмен документами и сведениями в формате "онлайн";</w:t>
      </w:r>
    </w:p>
    <w:p>
      <w:pPr>
        <w:spacing w:after="60"/>
        <w:ind w:firstLine="709"/>
        <w:jc w:val="both"/>
      </w:pPr>
      <w:r>
        <w:rPr>
          <w:rFonts w:ascii="Arial" w:cs="Arial" w:eastAsia="Arial" w:hAnsi="Arial"/>
          <w:sz w:val="22"/>
          <w:szCs w:val="22"/>
        </w:rPr>
        <w:t xml:space="preserve">- автоматизация таможенных процессов с целью создания цифровой таможни "e-Customs" на базе ЕАИС;</w:t>
      </w:r>
    </w:p>
    <w:p>
      <w:pPr>
        <w:spacing w:after="60"/>
        <w:ind w:firstLine="709"/>
        <w:jc w:val="both"/>
      </w:pPr>
      <w:r>
        <w:rPr>
          <w:rFonts w:ascii="Arial" w:cs="Arial" w:eastAsia="Arial" w:hAnsi="Arial"/>
          <w:sz w:val="22"/>
          <w:szCs w:val="22"/>
        </w:rPr>
        <w:t xml:space="preserve">- обеспечение прозрачности и оперативности процесса регистрации товаров и транспортных средств в пунктах пропуска и повышение эффективности деятельности мест таможенного оформления;</w:t>
      </w:r>
    </w:p>
    <w:p>
      <w:pPr>
        <w:spacing w:after="60"/>
        <w:ind w:firstLine="709"/>
        <w:jc w:val="both"/>
      </w:pPr>
      <w:r>
        <w:rPr>
          <w:rFonts w:ascii="Arial" w:cs="Arial" w:eastAsia="Arial" w:hAnsi="Arial"/>
          <w:sz w:val="22"/>
          <w:szCs w:val="22"/>
        </w:rPr>
        <w:t xml:space="preserve">- создание автоматизированной системы управления рисками с целью минимизации использования форм таможенного контроля при проверке товаров и транспортных средств, исключения субъективных решений;</w:t>
      </w:r>
    </w:p>
    <w:p>
      <w:pPr>
        <w:spacing w:after="60"/>
        <w:ind w:firstLine="709"/>
        <w:jc w:val="both"/>
      </w:pPr>
      <w:r>
        <w:rPr>
          <w:rFonts w:ascii="Arial" w:cs="Arial" w:eastAsia="Arial" w:hAnsi="Arial"/>
          <w:sz w:val="22"/>
          <w:szCs w:val="22"/>
        </w:rPr>
        <w:t xml:space="preserve">- создание условий для оперативного расследования правонарушений в таможенном деле путем эффективного использования информационных ресурсов на базе ЕАИС и повышена оперативность при их оформлении;</w:t>
      </w:r>
    </w:p>
    <w:p>
      <w:pPr>
        <w:spacing w:after="60"/>
        <w:ind w:firstLine="709"/>
        <w:jc w:val="both"/>
      </w:pPr>
      <w:r>
        <w:rPr>
          <w:rFonts w:ascii="Arial" w:cs="Arial" w:eastAsia="Arial" w:hAnsi="Arial"/>
          <w:sz w:val="22"/>
          <w:szCs w:val="22"/>
        </w:rPr>
        <w:t xml:space="preserve">- обеспечение обмена предварительными данными между таможенными органами стран-партнеров;</w:t>
      </w:r>
    </w:p>
    <w:p>
      <w:pPr>
        <w:spacing w:after="60"/>
        <w:ind w:firstLine="709"/>
        <w:jc w:val="both"/>
      </w:pPr>
      <w:r>
        <w:rPr>
          <w:rFonts w:ascii="Arial" w:cs="Arial" w:eastAsia="Arial" w:hAnsi="Arial"/>
          <w:sz w:val="22"/>
          <w:szCs w:val="22"/>
        </w:rPr>
        <w:t xml:space="preserve">- минимизация расхождений при зеркальном сопоставлении статистических данных по импорту и экспорту между торгующими странами;</w:t>
      </w:r>
    </w:p>
    <w:p>
      <w:pPr>
        <w:spacing w:after="60"/>
        <w:ind w:firstLine="709"/>
        <w:jc w:val="both"/>
      </w:pPr>
      <w:r>
        <w:rPr>
          <w:rFonts w:ascii="Arial" w:cs="Arial" w:eastAsia="Arial" w:hAnsi="Arial"/>
          <w:sz w:val="22"/>
          <w:szCs w:val="22"/>
        </w:rPr>
        <w:t xml:space="preserve">- повышение оперативности по формированию разновидных отчетов и создание условий для всестороннего анализа статистических данных;</w:t>
      </w:r>
    </w:p>
    <w:p>
      <w:pPr>
        <w:spacing w:after="60"/>
        <w:ind w:firstLine="709"/>
        <w:jc w:val="both"/>
      </w:pPr>
      <w:r>
        <w:rPr>
          <w:rFonts w:ascii="Arial" w:cs="Arial" w:eastAsia="Arial" w:hAnsi="Arial"/>
          <w:sz w:val="22"/>
          <w:szCs w:val="22"/>
        </w:rPr>
        <w:t xml:space="preserve">- минимизация рисков по правонарушениям и оптимизация расходов путем исключения группового сопровождения транспортных средств при доставке товаров между таможенными органами, путем применения GPS технологий;</w:t>
      </w:r>
    </w:p>
    <w:p>
      <w:pPr>
        <w:spacing w:after="60"/>
        <w:ind w:firstLine="709"/>
        <w:jc w:val="both"/>
      </w:pPr>
      <w:r>
        <w:rPr>
          <w:rFonts w:ascii="Arial" w:cs="Arial" w:eastAsia="Arial" w:hAnsi="Arial"/>
          <w:sz w:val="22"/>
          <w:szCs w:val="22"/>
        </w:rPr>
        <w:t xml:space="preserve">- повышение пропускной способности автомобильных пунктов пропуска и сокращения издержек при осуществлении таможенных операций, путем внедрения системы электронной очереди;</w:t>
      </w:r>
    </w:p>
    <w:p>
      <w:pPr>
        <w:spacing w:after="60"/>
        <w:ind w:firstLine="709"/>
        <w:jc w:val="both"/>
      </w:pPr>
      <w:r>
        <w:rPr>
          <w:rFonts w:ascii="Arial" w:cs="Arial" w:eastAsia="Arial" w:hAnsi="Arial"/>
          <w:sz w:val="22"/>
          <w:szCs w:val="22"/>
        </w:rPr>
        <w:t xml:space="preserve">- создание таможенной лаборатории с целью проведения таможенной экспертизы товаров;</w:t>
      </w:r>
    </w:p>
    <w:p>
      <w:pPr>
        <w:spacing w:after="60"/>
        <w:ind w:firstLine="709"/>
        <w:jc w:val="both"/>
      </w:pPr>
      <w:r>
        <w:rPr>
          <w:rFonts w:ascii="Arial" w:cs="Arial" w:eastAsia="Arial" w:hAnsi="Arial"/>
          <w:sz w:val="22"/>
          <w:szCs w:val="22"/>
        </w:rPr>
        <w:t xml:space="preserve">- автоматизация процессов делопроизводства и организация технологий работы с документами в электронном виде с применением электронной цифровой подписи (ЭЦП);</w:t>
      </w:r>
    </w:p>
    <w:p>
      <w:pPr>
        <w:spacing w:after="60"/>
        <w:ind w:firstLine="709"/>
        <w:jc w:val="both"/>
      </w:pPr>
      <w:r>
        <w:rPr>
          <w:rFonts w:ascii="Arial" w:cs="Arial" w:eastAsia="Arial" w:hAnsi="Arial"/>
          <w:sz w:val="22"/>
          <w:szCs w:val="22"/>
        </w:rPr>
        <w:t xml:space="preserve">- обеспечение таможенного контроля по проверке товаров импортируемых с помощью интернет-магазинов;</w:t>
      </w:r>
    </w:p>
    <w:p>
      <w:pPr>
        <w:spacing w:after="60"/>
        <w:ind w:firstLine="709"/>
        <w:jc w:val="both"/>
      </w:pPr>
      <w:r>
        <w:rPr>
          <w:rFonts w:ascii="Arial" w:cs="Arial" w:eastAsia="Arial" w:hAnsi="Arial"/>
          <w:sz w:val="22"/>
          <w:szCs w:val="22"/>
        </w:rPr>
        <w:t xml:space="preserve">- повышение эффективности деятельности таможенных органов путем наращивания кадрового потенциала, обеспечения прозрачности трудоустройства в таможенные органы и качества выполняемых работ таможенными сотрудниками с использованием инновационных технологий;</w:t>
      </w:r>
    </w:p>
    <w:p>
      <w:pPr>
        <w:spacing w:after="60"/>
        <w:ind w:firstLine="709"/>
        <w:jc w:val="both"/>
      </w:pPr>
      <w:r>
        <w:rPr>
          <w:rFonts w:ascii="Arial" w:cs="Arial" w:eastAsia="Arial" w:hAnsi="Arial"/>
          <w:sz w:val="22"/>
          <w:szCs w:val="22"/>
        </w:rPr>
        <w:t xml:space="preserve">- улучшение условий оплаты труда и социального обеспечения сотрудников таможенной службы;</w:t>
      </w:r>
    </w:p>
    <w:p>
      <w:pPr>
        <w:spacing w:after="60"/>
        <w:ind w:firstLine="709"/>
        <w:jc w:val="both"/>
      </w:pPr>
      <w:r>
        <w:rPr>
          <w:rFonts w:ascii="Arial" w:cs="Arial" w:eastAsia="Arial" w:hAnsi="Arial"/>
          <w:sz w:val="22"/>
          <w:szCs w:val="22"/>
        </w:rPr>
        <w:t xml:space="preserve">- развитие таможенной инфраструктуры в соответствии с международными стандартами в целях реализации настоящей концепции;</w:t>
      </w:r>
    </w:p>
    <w:p>
      <w:pPr>
        <w:spacing w:after="60"/>
        <w:ind w:firstLine="709"/>
        <w:jc w:val="both"/>
      </w:pPr>
      <w:r>
        <w:rPr>
          <w:rFonts w:ascii="Arial" w:cs="Arial" w:eastAsia="Arial" w:hAnsi="Arial"/>
          <w:sz w:val="22"/>
          <w:szCs w:val="22"/>
        </w:rPr>
        <w:t xml:space="preserve">- создание правовых и технических условий по созданию "Виртуальной таможни" путем внедрения инновационных технологий, направленных на развитие таможенной службы.</w:t>
      </w:r>
    </w:p>
    <w:p>
      <w:pPr>
        <w:spacing w:after="60"/>
        <w:ind w:firstLine="709"/>
        <w:jc w:val="both"/>
      </w:pPr>
      <w:r>
        <w:rPr>
          <w:rFonts w:ascii="Arial" w:cs="Arial" w:eastAsia="Arial" w:hAnsi="Arial"/>
          <w:sz w:val="22"/>
          <w:szCs w:val="22"/>
        </w:rPr>
        <w:t xml:space="preserve">В рамках ожидаемых результатов предполагается достичь следующих показателей:</w:t>
      </w:r>
    </w:p>
    <w:p>
      <w:pPr>
        <w:spacing w:after="60"/>
        <w:ind w:firstLine="709"/>
        <w:jc w:val="both"/>
      </w:pPr>
      <w:r>
        <w:rPr>
          <w:rFonts w:ascii="Arial" w:cs="Arial" w:eastAsia="Arial" w:hAnsi="Arial"/>
          <w:sz w:val="22"/>
          <w:szCs w:val="22"/>
        </w:rPr>
        <w:t xml:space="preserve">- сокращение времени проведения таможенных операций на пункте пропуска до 30 минут (Этап 1);</w:t>
      </w:r>
    </w:p>
    <w:p>
      <w:pPr>
        <w:spacing w:after="60"/>
        <w:ind w:firstLine="709"/>
        <w:jc w:val="both"/>
      </w:pPr>
      <w:r>
        <w:rPr>
          <w:rFonts w:ascii="Arial" w:cs="Arial" w:eastAsia="Arial" w:hAnsi="Arial"/>
          <w:sz w:val="22"/>
          <w:szCs w:val="22"/>
        </w:rPr>
        <w:t xml:space="preserve">- сокращение времени обработки деклараций на товары при помещении под таможенные процедуры до 1 часа 30 минут часов, при организации взаимодействия государственных органов по обмену разрешительных документов на основе безбумажной технологии (Этап 2);</w:t>
      </w:r>
    </w:p>
    <w:p>
      <w:pPr>
        <w:spacing w:after="60"/>
        <w:ind w:firstLine="709"/>
        <w:jc w:val="both"/>
      </w:pPr>
      <w:r>
        <w:rPr>
          <w:rFonts w:ascii="Arial" w:cs="Arial" w:eastAsia="Arial" w:hAnsi="Arial"/>
          <w:sz w:val="22"/>
          <w:szCs w:val="22"/>
        </w:rPr>
        <w:t xml:space="preserve">- проведение таможенного досмотра только на основании результатов системы управления рисками ЕАИС и категорирования участников внешнеэкономической деятельности (Этап 3);</w:t>
      </w:r>
    </w:p>
    <w:p>
      <w:pPr>
        <w:spacing w:after="60"/>
        <w:ind w:firstLine="709"/>
        <w:jc w:val="both"/>
      </w:pPr>
      <w:r>
        <w:rPr>
          <w:rFonts w:ascii="Arial" w:cs="Arial" w:eastAsia="Arial" w:hAnsi="Arial"/>
          <w:sz w:val="22"/>
          <w:szCs w:val="22"/>
        </w:rPr>
        <w:t xml:space="preserve">- сокращение времени проведения таможенных операций на пункте пропуска до 15 минут (Этап 3);</w:t>
      </w:r>
    </w:p>
    <w:p>
      <w:pPr>
        <w:spacing w:after="60"/>
        <w:ind w:firstLine="709"/>
        <w:jc w:val="both"/>
      </w:pPr>
      <w:r>
        <w:rPr>
          <w:rFonts w:ascii="Arial" w:cs="Arial" w:eastAsia="Arial" w:hAnsi="Arial"/>
          <w:sz w:val="22"/>
          <w:szCs w:val="22"/>
        </w:rPr>
        <w:t xml:space="preserve">- сокращение времени прохождения таможенных операций и принятие решения по помещению товаров под таможенные процедуры в течение 30 минут после поступления деклараций в таможенные органы (Этап 3).</w:t>
      </w:r>
    </w:p>
    <w:p>
      <w:pPr>
        <w:spacing w:after="60"/>
        <w:ind w:firstLine="709"/>
        <w:jc w:val="both"/>
      </w:pPr>
      <w:r>
        <w:rPr>
          <w:rFonts w:ascii="Arial" w:cs="Arial" w:eastAsia="Arial" w:hAnsi="Arial"/>
          <w:sz w:val="22"/>
          <w:szCs w:val="22"/>
        </w:rPr>
        <w:t xml:space="preserve">В результате реализации настоящей Концепции и внедрения проектов, вытекающих из Плана мероприятия, прогнозируется увеличение импортируемого грузопотока с учетом оптимизации процедур на государственной границе и пресечение правонарушений по доставке товаров до места таможенного оформления, которые значительно повлияют на товарооборот. На основании опыта других стран и в зависимости от экономической ситуации мира, по предварительным расчетам прогнозируемые показатели представляют, что поток поступления товаров по автомобильным перевозкам возрастут от 40 тыс. до 300 тыс. в год.</w:t>
      </w:r>
    </w:p>
    <w:p>
      <w:pPr>
        <w:spacing w:after="200" w:before="200"/>
        <w:ind w:firstLine="709"/>
        <w:jc w:val="center"/>
      </w:pPr>
      <w:r>
        <w:rPr>
          <w:rFonts w:ascii="Arial" w:cs="Arial" w:eastAsia="Arial" w:hAnsi="Arial"/>
          <w:b/>
          <w:bCs/>
          <w:sz w:val="22"/>
          <w:szCs w:val="22"/>
        </w:rPr>
        <w:t xml:space="preserve">Глава 6. Финансовые ресурсы и источники</w:t>
      </w:r>
    </w:p>
    <w:p>
      <w:pPr>
        <w:spacing w:after="60"/>
        <w:ind w:firstLine="709"/>
        <w:jc w:val="both"/>
      </w:pPr>
      <w:r>
        <w:rPr>
          <w:rFonts w:ascii="Arial" w:cs="Arial" w:eastAsia="Arial" w:hAnsi="Arial"/>
          <w:sz w:val="22"/>
          <w:szCs w:val="22"/>
        </w:rPr>
        <w:t xml:space="preserve">Финансирование реализации настоящей Концепции планируется осуществить за счет средств, выделяемых из республиканского бюджета, а также возможных средств международных доноров.</w:t>
      </w:r>
    </w:p>
    <w:p>
      <w:pPr>
        <w:spacing w:after="200" w:before="200"/>
        <w:ind w:firstLine="709"/>
        <w:jc w:val="center"/>
      </w:pPr>
      <w:r>
        <w:rPr>
          <w:rFonts w:ascii="Arial" w:cs="Arial" w:eastAsia="Arial" w:hAnsi="Arial"/>
          <w:b/>
          <w:bCs/>
          <w:sz w:val="22"/>
          <w:szCs w:val="22"/>
        </w:rPr>
        <w:t xml:space="preserve">Глава 7. Возможные риски при реализации Концепции</w:t>
      </w:r>
    </w:p>
    <w:p>
      <w:pPr>
        <w:spacing w:after="60"/>
        <w:ind w:firstLine="709"/>
        <w:jc w:val="both"/>
      </w:pPr>
      <w:r>
        <w:rPr>
          <w:rFonts w:ascii="Arial" w:cs="Arial" w:eastAsia="Arial" w:hAnsi="Arial"/>
          <w:sz w:val="22"/>
          <w:szCs w:val="22"/>
        </w:rPr>
        <w:t xml:space="preserve">При реализации Концепции существуют следующие возможные риски:</w:t>
      </w:r>
    </w:p>
    <w:p>
      <w:pPr>
        <w:spacing w:after="60"/>
        <w:ind w:firstLine="709"/>
        <w:jc w:val="both"/>
      </w:pPr>
      <w:r>
        <w:rPr>
          <w:rFonts w:ascii="Arial" w:cs="Arial" w:eastAsia="Arial" w:hAnsi="Arial"/>
          <w:sz w:val="22"/>
          <w:szCs w:val="22"/>
        </w:rPr>
        <w:t xml:space="preserve">- ненадлежащее, несвоевременное и неполное финансирование задач, предусмотренных настоящей Концепцией;</w:t>
      </w:r>
    </w:p>
    <w:p>
      <w:pPr>
        <w:spacing w:after="60"/>
        <w:ind w:firstLine="709"/>
        <w:jc w:val="both"/>
      </w:pPr>
      <w:r>
        <w:rPr>
          <w:rFonts w:ascii="Arial" w:cs="Arial" w:eastAsia="Arial" w:hAnsi="Arial"/>
          <w:sz w:val="22"/>
          <w:szCs w:val="22"/>
        </w:rPr>
        <w:t xml:space="preserve">- состояние и перспективы развития политических и экономических отношений между странами-партнерами и интеграционными объединениями;</w:t>
      </w:r>
    </w:p>
    <w:p>
      <w:pPr>
        <w:spacing w:after="60"/>
        <w:ind w:firstLine="709"/>
        <w:jc w:val="both"/>
      </w:pPr>
      <w:r>
        <w:rPr>
          <w:rFonts w:ascii="Arial" w:cs="Arial" w:eastAsia="Arial" w:hAnsi="Arial"/>
          <w:sz w:val="22"/>
          <w:szCs w:val="22"/>
        </w:rPr>
        <w:t xml:space="preserve">- несвоевременное выполнение мероприятий по развитию инфраструктуры и обеспечению современными техническими средствами таможенных объектов;</w:t>
      </w:r>
    </w:p>
    <w:p>
      <w:pPr>
        <w:spacing w:after="60"/>
        <w:ind w:firstLine="709"/>
        <w:jc w:val="both"/>
      </w:pPr>
      <w:r>
        <w:rPr>
          <w:rFonts w:ascii="Arial" w:cs="Arial" w:eastAsia="Arial" w:hAnsi="Arial"/>
          <w:sz w:val="22"/>
          <w:szCs w:val="22"/>
        </w:rPr>
        <w:t xml:space="preserve">- увеличение продолжительности исполнения мероприятий, в зависимости от результатов проведения тендерных конкурсов и определения поставщиков услуги, вытекающих из Плана мероприятий;</w:t>
      </w:r>
    </w:p>
    <w:p>
      <w:pPr>
        <w:spacing w:after="60"/>
        <w:ind w:firstLine="709"/>
        <w:jc w:val="both"/>
      </w:pPr>
      <w:r>
        <w:rPr>
          <w:rFonts w:ascii="Arial" w:cs="Arial" w:eastAsia="Arial" w:hAnsi="Arial"/>
          <w:sz w:val="22"/>
          <w:szCs w:val="22"/>
        </w:rPr>
        <w:t xml:space="preserve">- уровень развития информационных систем в других соответствующих государственных органах;</w:t>
      </w:r>
    </w:p>
    <w:p>
      <w:pPr>
        <w:spacing w:after="60"/>
        <w:ind w:firstLine="709"/>
        <w:jc w:val="both"/>
      </w:pPr>
      <w:r>
        <w:rPr>
          <w:rFonts w:ascii="Arial" w:cs="Arial" w:eastAsia="Arial" w:hAnsi="Arial"/>
          <w:sz w:val="22"/>
          <w:szCs w:val="22"/>
        </w:rPr>
        <w:t xml:space="preserve">- обстоятельства непреодолимой силы (пандемия, стихийные бедствия, социально-политические потрясения и нестабильность и т.д.).</w:t>
      </w:r>
    </w:p>
    <w:p>
      <w:pPr>
        <w:spacing w:after="200" w:before="200"/>
        <w:ind w:firstLine="709"/>
        <w:jc w:val="center"/>
      </w:pPr>
      <w:r>
        <w:rPr>
          <w:rFonts w:ascii="Arial" w:cs="Arial" w:eastAsia="Arial" w:hAnsi="Arial"/>
          <w:b/>
          <w:bCs/>
          <w:sz w:val="22"/>
          <w:szCs w:val="22"/>
        </w:rPr>
        <w:t xml:space="preserve">Глава 8. Мониторинг и оценка</w:t>
      </w:r>
    </w:p>
    <w:p>
      <w:pPr>
        <w:spacing w:after="60"/>
        <w:ind w:firstLine="709"/>
        <w:jc w:val="both"/>
      </w:pPr>
      <w:r>
        <w:rPr>
          <w:rFonts w:ascii="Arial" w:cs="Arial" w:eastAsia="Arial" w:hAnsi="Arial"/>
          <w:sz w:val="22"/>
          <w:szCs w:val="22"/>
        </w:rPr>
        <w:t xml:space="preserve">Регулярный мониторинг и оценка выполнения конкретных мер настоящей Концепции станет эффективным инструментом отслеживания прогресса ее реализации, который позволит:</w:t>
      </w:r>
    </w:p>
    <w:p>
      <w:pPr>
        <w:spacing w:after="60"/>
        <w:ind w:firstLine="709"/>
        <w:jc w:val="both"/>
      </w:pPr>
      <w:r>
        <w:rPr>
          <w:rFonts w:ascii="Arial" w:cs="Arial" w:eastAsia="Arial" w:hAnsi="Arial"/>
          <w:sz w:val="22"/>
          <w:szCs w:val="22"/>
        </w:rPr>
        <w:t xml:space="preserve">- принимать упредительные решения по внесению корректив в процесс продвижения приоритетов настоящей Концепции;</w:t>
      </w:r>
    </w:p>
    <w:p>
      <w:pPr>
        <w:spacing w:after="60"/>
        <w:ind w:firstLine="709"/>
        <w:jc w:val="both"/>
      </w:pPr>
      <w:r>
        <w:rPr>
          <w:rFonts w:ascii="Arial" w:cs="Arial" w:eastAsia="Arial" w:hAnsi="Arial"/>
          <w:sz w:val="22"/>
          <w:szCs w:val="22"/>
        </w:rPr>
        <w:t xml:space="preserve">- оценить промежуточные и итоговые результаты этапов реализации настоящей Концепции;</w:t>
      </w:r>
    </w:p>
    <w:p>
      <w:pPr>
        <w:spacing w:after="60"/>
        <w:ind w:firstLine="709"/>
        <w:jc w:val="both"/>
      </w:pPr>
      <w:r>
        <w:rPr>
          <w:rFonts w:ascii="Arial" w:cs="Arial" w:eastAsia="Arial" w:hAnsi="Arial"/>
          <w:sz w:val="22"/>
          <w:szCs w:val="22"/>
        </w:rPr>
        <w:t xml:space="preserve">- производить оценку их воздействия на общее развитие таможенного дела.</w:t>
      </w:r>
    </w:p>
    <w:p>
      <w:pPr>
        <w:spacing w:after="60"/>
        <w:ind w:firstLine="709"/>
        <w:jc w:val="both"/>
      </w:pPr>
      <w:r>
        <w:rPr>
          <w:rFonts w:ascii="Arial" w:cs="Arial" w:eastAsia="Arial" w:hAnsi="Arial"/>
          <w:sz w:val="22"/>
          <w:szCs w:val="22"/>
        </w:rPr>
        <w:t xml:space="preserve">В ходе оценки реализации будет детально анализироваться достигнутый прогресс, определяться "слабые места" и недостатки.</w:t>
      </w:r>
    </w:p>
    <w:p>
      <w:pPr>
        <w:spacing w:after="60"/>
        <w:ind w:firstLine="709"/>
        <w:jc w:val="both"/>
      </w:pPr>
      <w:r>
        <w:rPr>
          <w:rFonts w:ascii="Arial" w:cs="Arial" w:eastAsia="Arial" w:hAnsi="Arial"/>
          <w:sz w:val="22"/>
          <w:szCs w:val="22"/>
        </w:rPr>
        <w:t xml:space="preserve">Промежуточные результаты этапов реализации настоящей Концепции будут оцениваться на основании показателей результативности выполнения Плана мероприятий (далее - показатели результативности выполнения мероприятий).</w:t>
      </w:r>
    </w:p>
    <w:p>
      <w:pPr>
        <w:spacing w:after="60"/>
        <w:ind w:firstLine="709"/>
        <w:jc w:val="both"/>
      </w:pPr>
      <w:r>
        <w:rPr>
          <w:rFonts w:ascii="Arial" w:cs="Arial" w:eastAsia="Arial" w:hAnsi="Arial"/>
          <w:sz w:val="22"/>
          <w:szCs w:val="22"/>
        </w:rPr>
        <w:t xml:space="preserve">Показателями результативности выполнения мероприятий (ежегодно и в целом по плану нарастающим итогом) являются:</w:t>
      </w:r>
    </w:p>
    <w:p>
      <w:pPr>
        <w:spacing w:after="60"/>
        <w:ind w:firstLine="709"/>
        <w:jc w:val="both"/>
      </w:pPr>
      <w:r>
        <w:rPr>
          <w:rFonts w:ascii="Arial" w:cs="Arial" w:eastAsia="Arial" w:hAnsi="Arial"/>
          <w:sz w:val="22"/>
          <w:szCs w:val="22"/>
        </w:rPr>
        <w:t xml:space="preserve">- доля выполненных мероприятий от общего количества мероприятий, предусмотренных Планом мероприятий;</w:t>
      </w:r>
    </w:p>
    <w:p>
      <w:pPr>
        <w:spacing w:after="60"/>
        <w:ind w:firstLine="709"/>
        <w:jc w:val="both"/>
      </w:pPr>
      <w:r>
        <w:rPr>
          <w:rFonts w:ascii="Arial" w:cs="Arial" w:eastAsia="Arial" w:hAnsi="Arial"/>
          <w:sz w:val="22"/>
          <w:szCs w:val="22"/>
        </w:rPr>
        <w:t xml:space="preserve">- доля мероприятий, выполненных своевременно, от общего количества мероприятий, срок выполнения которых наступил.</w:t>
      </w:r>
    </w:p>
    <w:p>
      <w:pPr>
        <w:spacing w:after="60"/>
        <w:ind w:firstLine="709"/>
        <w:jc w:val="both"/>
      </w:pPr>
      <w:r>
        <w:rPr>
          <w:rFonts w:ascii="Arial" w:cs="Arial" w:eastAsia="Arial" w:hAnsi="Arial"/>
          <w:sz w:val="22"/>
          <w:szCs w:val="22"/>
        </w:rPr>
        <w:t xml:space="preserve">Оценка итоговых результатов будет оцениваться на основании следующих показателей эффективности выполнения в отчетном периоде:</w:t>
      </w:r>
    </w:p>
    <w:p>
      <w:pPr>
        <w:spacing w:after="60"/>
        <w:ind w:firstLine="709"/>
        <w:jc w:val="both"/>
      </w:pPr>
      <w:r>
        <w:rPr>
          <w:rFonts w:ascii="Arial" w:cs="Arial" w:eastAsia="Arial" w:hAnsi="Arial"/>
          <w:sz w:val="22"/>
          <w:szCs w:val="22"/>
        </w:rPr>
        <w:t xml:space="preserve">Коэффициент "1" - "Высокая степень эффективности реализации концепции";</w:t>
      </w:r>
    </w:p>
    <w:p>
      <w:pPr>
        <w:spacing w:after="60"/>
        <w:ind w:firstLine="709"/>
        <w:jc w:val="both"/>
      </w:pPr>
      <w:r>
        <w:rPr>
          <w:rFonts w:ascii="Arial" w:cs="Arial" w:eastAsia="Arial" w:hAnsi="Arial"/>
          <w:sz w:val="22"/>
          <w:szCs w:val="22"/>
        </w:rPr>
        <w:t xml:space="preserve">Коэффициент "0,8" - "Степень эффективности реализации концепции выше среднего уровня";</w:t>
      </w:r>
    </w:p>
    <w:p>
      <w:pPr>
        <w:spacing w:after="60"/>
        <w:ind w:firstLine="709"/>
        <w:jc w:val="both"/>
      </w:pPr>
      <w:r>
        <w:rPr>
          <w:rFonts w:ascii="Arial" w:cs="Arial" w:eastAsia="Arial" w:hAnsi="Arial"/>
          <w:sz w:val="22"/>
          <w:szCs w:val="22"/>
        </w:rPr>
        <w:t xml:space="preserve">Коэффициент "0,2" - "Низкая степень эффективности реализации концепции".</w:t>
      </w:r>
    </w:p>
    <w:p>
      <w:pPr>
        <w:spacing w:after="60"/>
        <w:ind w:firstLine="709"/>
        <w:jc w:val="both"/>
      </w:pPr>
      <w:r>
        <w:rPr>
          <w:rFonts w:ascii="Arial" w:cs="Arial" w:eastAsia="Arial" w:hAnsi="Arial"/>
          <w:sz w:val="22"/>
          <w:szCs w:val="22"/>
        </w:rPr>
        <w:t xml:space="preserve">Коэффициент "1" - оценивается равным "1" и применяется, если мероприятие было исполнено в полном объеме и в установленный срок (например, проект нормативного правового акта принят Кабинетом Министров Кыргызской Республики).</w:t>
      </w:r>
    </w:p>
    <w:p>
      <w:pPr>
        <w:spacing w:after="60"/>
        <w:ind w:firstLine="709"/>
        <w:jc w:val="both"/>
      </w:pPr>
      <w:r>
        <w:rPr>
          <w:rFonts w:ascii="Arial" w:cs="Arial" w:eastAsia="Arial" w:hAnsi="Arial"/>
          <w:sz w:val="22"/>
          <w:szCs w:val="22"/>
        </w:rPr>
        <w:t xml:space="preserve">Коэффициент "0,8" - оценивается понижающим коэффициентом равным "0,8" и применяется, если мероприятия были исполнены не в установленный срок, но в пределах отчетного периода и при наличии обоснования.</w:t>
      </w:r>
    </w:p>
    <w:p>
      <w:pPr>
        <w:spacing w:after="60"/>
        <w:ind w:firstLine="709"/>
        <w:jc w:val="both"/>
      </w:pPr>
      <w:r>
        <w:rPr>
          <w:rFonts w:ascii="Arial" w:cs="Arial" w:eastAsia="Arial" w:hAnsi="Arial"/>
          <w:sz w:val="22"/>
          <w:szCs w:val="22"/>
        </w:rPr>
        <w:t xml:space="preserve">Коэффициент "0,2" - оценивается коэффициентом равным "0,2" и применяется, если мероприятия не были исполнены в отчетном периоде и при отсутствии обоснования.</w:t>
      </w:r>
    </w:p>
    <w:p>
      <w:pPr>
        <w:spacing w:after="60"/>
        <w:ind w:firstLine="709"/>
        <w:jc w:val="both"/>
      </w:pPr>
      <w:r>
        <w:rPr>
          <w:rFonts w:ascii="Arial" w:cs="Arial" w:eastAsia="Arial" w:hAnsi="Arial"/>
          <w:sz w:val="22"/>
          <w:szCs w:val="22"/>
        </w:rPr>
        <w:t xml:space="preserve">По невыполненным и несвоевременно выполненным мероприятиям должно быть представлено обоснование объективных причин их невыполнения или несвоевременного выполнения.</w:t>
      </w:r>
    </w:p>
    <w:p>
      <w:pPr>
        <w:spacing w:after="60"/>
        <w:ind w:firstLine="709"/>
        <w:jc w:val="both"/>
      </w:pPr>
      <w:r>
        <w:rPr>
          <w:rFonts w:ascii="Arial" w:cs="Arial" w:eastAsia="Arial" w:hAnsi="Arial"/>
          <w:sz w:val="22"/>
          <w:szCs w:val="22"/>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более полному удовлетворению ожиданий бизнес-сообщества.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Концепции развития таможенной службы Кыргызской Республики на 2022-2025 годы</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gpp3ocobagfn3bo59q0w1">
        <w:r>
          <w:rPr>
            <w:rFonts w:ascii="Arial" w:cs="Arial" w:eastAsia="Arial" w:hAnsi="Arial"/>
            <w:i/>
            <w:iCs/>
            <w:color w:val="1D4ED8"/>
            <w:sz w:val="24"/>
            <w:szCs w:val="24"/>
            <w:u w:val="single"/>
          </w:rPr>
          <w:t xml:space="preserve">12 июля 2022 года № 378</w:t>
        </w:r>
      </w:hyperlink>
      <w:hyperlink w:history="1" r:id="rIdp0nhr3xeihv5ptdobstzo">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29 мая 2023 года № 285</w:t>
        </w:r>
      </w:hyperlink>
      <w:r>
        <w:rPr>
          <w:rFonts w:ascii="Arial" w:cs="Arial" w:eastAsia="Arial" w:hAnsi="Arial"/>
          <w:i/>
          <w:iCs/>
          <w:sz w:val="24"/>
          <w:szCs w:val="24"/>
        </w:rPr>
        <w:t xml:space="preserve">, </w:t>
      </w:r>
      <w:hyperlink w:history="1" r:id="rIdr0g8psjw3empaugvzscfs">
        <w:r>
          <w:rPr>
            <w:rFonts w:ascii="Arial" w:cs="Arial" w:eastAsia="Arial" w:hAnsi="Arial"/>
            <w:i/>
            <w:iCs/>
            <w:color w:val="1D4ED8"/>
            <w:sz w:val="24"/>
            <w:szCs w:val="24"/>
            <w:u w:val="single"/>
          </w:rPr>
          <w:t xml:space="preserve">14 октября 2024 года № 618)</w:t>
        </w:r>
      </w:hyperlink>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0"/>
      </w:tblGrid>
      <w:tr>
        <w:tc>
          <w:tcPr>
            <w:tcW w:type="dxa" w:w="11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c>
          <w:tcPr>
            <w:tcW w:type="dxa" w:w="11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Законодательная база по упрощению торговли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и нормативных правовых актов для упрощения процедур торговли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Оптимизация бизнес-процессов по взаимодействию государственных контролирующих органов с таможенной службой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межведомственной рабочей группы по оптимизации бизнес-процессов государственных контролирующих органов в пунктах пропуска путем обеспечения информационного взаимодействия и внесение на утверждение в КМ</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апреля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изменений и дополнений в Законы Кыргызской Республики "</w:t>
            </w:r>
            <w:hyperlink w:history="1" r:id="rIdlta5r92icru4qtafacnyb">
              <w:r>
                <w:rPr>
                  <w:rFonts w:ascii="Arial" w:cs="Arial" w:eastAsia="Arial" w:hAnsi="Arial"/>
                  <w:color w:val="1D4ED8"/>
                  <w:sz w:val="24"/>
                  <w:szCs w:val="24"/>
                  <w:u w:val="single"/>
                </w:rPr>
                <w:t xml:space="preserve">Об общественном здравоохранении</w:t>
              </w:r>
            </w:hyperlink>
            <w:r>
              <w:rPr>
                <w:rFonts w:ascii="Arial" w:cs="Arial" w:eastAsia="Arial" w:hAnsi="Arial"/>
                <w:sz w:val="24"/>
                <w:szCs w:val="24"/>
              </w:rPr>
              <w:t xml:space="preserve">", "</w:t>
            </w:r>
            <w:hyperlink w:history="1" r:id="rIdbb4rpt5tgwqahi30ecwkk">
              <w:r>
                <w:rPr>
                  <w:rFonts w:ascii="Arial" w:cs="Arial" w:eastAsia="Arial" w:hAnsi="Arial"/>
                  <w:color w:val="1D4ED8"/>
                  <w:sz w:val="24"/>
                  <w:szCs w:val="24"/>
                  <w:u w:val="single"/>
                </w:rPr>
                <w:t xml:space="preserve">О карантине растений</w:t>
              </w:r>
            </w:hyperlink>
            <w:r>
              <w:rPr>
                <w:rFonts w:ascii="Arial" w:cs="Arial" w:eastAsia="Arial" w:hAnsi="Arial"/>
                <w:sz w:val="24"/>
                <w:szCs w:val="24"/>
              </w:rPr>
              <w:t xml:space="preserve">", "</w:t>
            </w:r>
            <w:hyperlink w:history="1" r:id="rIdobik8edbwgqpdvgwu7wgm">
              <w:r>
                <w:rPr>
                  <w:rFonts w:ascii="Arial" w:cs="Arial" w:eastAsia="Arial" w:hAnsi="Arial"/>
                  <w:color w:val="1D4ED8"/>
                  <w:sz w:val="24"/>
                  <w:szCs w:val="24"/>
                  <w:u w:val="single"/>
                </w:rPr>
                <w:t xml:space="preserve">О ветеринарии</w:t>
              </w:r>
            </w:hyperlink>
            <w:r>
              <w:rPr>
                <w:rFonts w:ascii="Arial" w:cs="Arial" w:eastAsia="Arial" w:hAnsi="Arial"/>
                <w:sz w:val="24"/>
                <w:szCs w:val="24"/>
              </w:rPr>
              <w:t xml:space="preserve">" и другие нормативные правовые акта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февраля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КМ "О некоторых вопросах осуществления государственными контролирующими органами своих функций в пунктах пропуска на государственной границе Кыргызской Республики", включая вопросы координации деятельности органов санитарно-карантинного, ветеринарного, фитосанитарного, транспортного и таможенного контроля в пунктах пропуска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единый государственный орган в пунктах пропуска по проверке товаров и транспортных средств по принципу "Одного окна"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КМ о внесении изменений и дополнений в положения о Государственной таможенной службе при Министерстве финансов и других государственных контролирующих органов, а также в другие нормативные правовые акты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 единый государственный орган в пунктах пропуска по проверке товаров и транспортных средств по принципу "Одного окна"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(Утратила силу в соответствии с </w:t>
            </w:r>
            <w:hyperlink w:history="1" r:id="rIdkv4lrj9glxnwzeu5det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проектов постановления КМ, устанавливающих порядок контрольных мер в сфере санитарно-карантинного, ветеринарного, фитосанитарного и транспортного контроля на основе управления рисками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 </w:t>
            </w:r>
            <w:r>
              <w:rPr>
                <w:rFonts w:ascii="Arial" w:cs="Arial" w:eastAsia="Arial" w:hAnsi="Arial"/>
                <w:sz w:val="24"/>
                <w:szCs w:val="24"/>
              </w:rPr>
              <w:t xml:space="preserve">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Упрощены контрольные меры по проверке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МЗ, МСХ, МТК, МЭК</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нормативного правового акта о внесении изменений и дополнений в Положение о пунктах пропуска через государственную границу Кыргызской Республики, а также в другие акты, регулирующие статус пунктов пропуска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марта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Оптимизированы функции и определена ответственность при проверке товаров и транспортных средств на государственной границе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Межведомственная рабочая группа</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механизма по принципу "Одного окна" на пунктах пропуска, который позволит оптимизировать и улучшить взаимодействие таможенной службы с государственными контролирующими органами (в том числе путем внедрения возможности обмена документами и сведения в формате "онлайн")</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механизм по принципу "Одного окна", который позволит осуществлять обмен документами и сведения в формате "онлайн"</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 МЗ, МСХ, МТК, ПС ГКНБ</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Совершенствование технологической схемы взаимодействия пограничной и таможенной служб на основе безбумажной 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изменений и дополнений в Закон Кыргызской Республики "</w:t>
            </w:r>
            <w:hyperlink w:history="1" r:id="rIdislojpflvce6ryi81qpub">
              <w:r>
                <w:rPr>
                  <w:rFonts w:ascii="Arial" w:cs="Arial" w:eastAsia="Arial" w:hAnsi="Arial"/>
                  <w:color w:val="1D4ED8"/>
                  <w:sz w:val="24"/>
                  <w:szCs w:val="24"/>
                  <w:u w:val="single"/>
                </w:rPr>
                <w:t xml:space="preserve">О Государственной границе Кыргызской Республики</w:t>
              </w:r>
            </w:hyperlink>
            <w:r>
              <w:rPr>
                <w:rFonts w:ascii="Arial" w:cs="Arial" w:eastAsia="Arial" w:hAnsi="Arial"/>
                <w:sz w:val="24"/>
                <w:szCs w:val="24"/>
              </w:rPr>
              <w:t xml:space="preserve">" и другие нормативные правовые акты, с учетом реализации подпункта 1) настоящего Плана мероприятий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февраля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пунктов пропуска путем взаимодействия государственных органов на основе безбумажной 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 ПС ГКНБ</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Совершенствование системы управления рисками в таможенном деле в целях упрощения таможенного контроля и содействие торговле на основе предварительного информирования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Жогорку Кенеш Кыргызской Республики проектов законов о внесении дополнений и изменений в Закон КР "</w:t>
            </w:r>
            <w:r>
              <w:rPr>
                <w:rFonts w:ascii="Arial" w:cs="Arial" w:eastAsia="Arial" w:hAnsi="Arial"/>
                <w:sz w:val="24"/>
                <w:szCs w:val="24"/>
              </w:rPr>
              <w:t xml:space="preserve">О таможенном регулировании</w:t>
            </w:r>
            <w:r>
              <w:rPr>
                <w:rFonts w:ascii="Arial" w:cs="Arial" w:eastAsia="Arial" w:hAnsi="Arial"/>
                <w:sz w:val="24"/>
                <w:szCs w:val="24"/>
              </w:rPr>
              <w:t xml:space="preserve">" и другие нормативные правовые акты предусматривающие:</w:t>
            </w:r>
          </w:p>
          <w:p>
            <w:pPr>
              <w:jc w:val="left"/>
            </w:pPr>
            <w:r>
              <w:rPr>
                <w:rFonts w:ascii="Arial" w:cs="Arial" w:eastAsia="Arial" w:hAnsi="Arial"/>
                <w:sz w:val="24"/>
                <w:szCs w:val="24"/>
              </w:rPr>
              <w:t xml:space="preserve">- закрепление правового статуса предварительной информации, представляемой в обязательном порядке с целью урегулирования ответственности за достоверность представляемых сведений, а также об ответственности в случае непредставления предварительной информации и (или) представления заведомо недостоверных сведений;</w:t>
            </w:r>
          </w:p>
          <w:p>
            <w:pPr>
              <w:jc w:val="left"/>
            </w:pPr>
            <w:r>
              <w:rPr>
                <w:rFonts w:ascii="Arial" w:cs="Arial" w:eastAsia="Arial" w:hAnsi="Arial"/>
                <w:sz w:val="24"/>
                <w:szCs w:val="24"/>
              </w:rPr>
              <w:t xml:space="preserve">- применение системы управления рисками в таможенной сфере для выбора форм таможенного контроля направленного на содействие торговле, повышение эффективности ВЭД и обеспечение экономической безопасности страны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январ</w:t>
            </w:r>
            <w:r>
              <w:rPr>
                <w:rFonts w:ascii="Arial" w:cs="Arial" w:eastAsia="Arial" w:hAnsi="Arial"/>
                <w:sz w:val="24"/>
                <w:szCs w:val="24"/>
              </w:rPr>
              <w:t xml:space="preserve">я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торгового оборота за счет упрощения контрольные меры по проверке товаров и транспортных средств.</w:t>
            </w:r>
          </w:p>
          <w:p>
            <w:pPr>
              <w:jc w:val="left"/>
            </w:pPr>
            <w:r>
              <w:rPr>
                <w:rFonts w:ascii="Arial" w:cs="Arial" w:eastAsia="Arial" w:hAnsi="Arial"/>
                <w:sz w:val="24"/>
                <w:szCs w:val="24"/>
              </w:rPr>
              <w:t xml:space="preserve">Минимизированы расхождения при сопоставлении данных таможенной статистики между странами-партнерами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по установлению единого стандарта совершения таможенных операций таможенными органами, проведения таможенного контроля, обмена информацией, конкретных показателей, характеризующих его достижение и исполнение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декабря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стандарт по таможенному оформлению, исключающий субъективные факторы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подготовка проектов международных договоров по обмену предварительными данными между таможенными органами стран-партнеров с целью ускорения и прозрачности процесса таможенного оформления и уменьшения расхождений при зеркальном сопоставлении статистических данных по импорту и экспорту между торгующими странами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 процесс таможенного оформления и минимизированы расхождения при зеркальном сопоставлении статистических данных по импорту и экспорту между торгующими странами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Упрощение торговли путем внедрения цифровых технологий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о поэтапном внедрении цифровой технологии в таможенном деле на базе ЕАИС на всех стадиях совершения таможенных операций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сентября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электронная таможня "е-Customs"</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постановления по определению государственного органа для регулирования навигационных устройств (GPS, пломб) в таможенном процессе по доставке товаров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сентября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Минимизированы риски по правонарушениям при доставке товаров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МЦР, НОСОПТсИН,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проекта нормативного правового акта по определению оператора системы электронной очереди для обеспечения оптимальной и эффективной организации потоков транспортных средств, перемещаемых через государственные границы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автомобильных пунктов пропуска и сокращены издержки при осуществлении таможенных операций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Ускорение процесса таможенного оформления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в КМ нормативного правового акта предусматривающего:</w:t>
            </w:r>
          </w:p>
          <w:p>
            <w:pPr>
              <w:jc w:val="left"/>
            </w:pPr>
            <w:r>
              <w:rPr>
                <w:rFonts w:ascii="Arial" w:cs="Arial" w:eastAsia="Arial" w:hAnsi="Arial"/>
                <w:sz w:val="24"/>
                <w:szCs w:val="24"/>
              </w:rPr>
              <w:t xml:space="preserve">- создание центральной таможенной лаборатории;</w:t>
            </w:r>
          </w:p>
          <w:p>
            <w:pPr>
              <w:jc w:val="left"/>
            </w:pPr>
            <w:r>
              <w:rPr>
                <w:rFonts w:ascii="Arial" w:cs="Arial" w:eastAsia="Arial" w:hAnsi="Arial"/>
                <w:sz w:val="24"/>
                <w:szCs w:val="24"/>
              </w:rPr>
              <w:t xml:space="preserve">- принципы формирования группы таможенных экспертов для анализа товаров;</w:t>
            </w:r>
          </w:p>
          <w:p>
            <w:pPr>
              <w:jc w:val="left"/>
            </w:pPr>
            <w:r>
              <w:rPr>
                <w:rFonts w:ascii="Arial" w:cs="Arial" w:eastAsia="Arial" w:hAnsi="Arial"/>
                <w:sz w:val="24"/>
                <w:szCs w:val="24"/>
              </w:rPr>
              <w:t xml:space="preserve">- технические требования операций (отбор, размещение, анализ, учет и др.) по образцам товаров в таможенной лаборатории;</w:t>
            </w:r>
          </w:p>
          <w:p>
            <w:pPr>
              <w:jc w:val="left"/>
            </w:pPr>
            <w:r>
              <w:rPr>
                <w:rFonts w:ascii="Arial" w:cs="Arial" w:eastAsia="Arial" w:hAnsi="Arial"/>
                <w:sz w:val="24"/>
                <w:szCs w:val="24"/>
              </w:rPr>
              <w:t xml:space="preserve">- техническое оснащение таможенной лаборатории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оперативного проведения таможенных экспертиз</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786"/>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ftfknyasnihl0xxg7xsr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Упрощение таможенных процессов</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и формальностей, направленных на содействие развитию торговли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Совершенствование нормативных правовых актов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Инвентаризация нормативных правовых актов в сфере таможенного дела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правовые условия для внедрения инновационных проектов с целью развития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w:t>
            </w:r>
            <w:r>
              <w:rPr>
                <w:rFonts w:ascii="Arial" w:cs="Arial" w:eastAsia="Arial" w:hAnsi="Arial"/>
                <w:sz w:val="24"/>
                <w:szCs w:val="24"/>
              </w:rPr>
              <w:t xml:space="preserve">января</w:t>
            </w:r>
            <w:r>
              <w:rPr>
                <w:rFonts w:ascii="Arial" w:cs="Arial" w:eastAsia="Arial" w:hAnsi="Arial"/>
                <w:sz w:val="24"/>
                <w:szCs w:val="24"/>
              </w:rPr>
              <w:t xml:space="preserve">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деятельности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Совершенствование взаимодействия таможенных органов с заинтересованными сторонами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"Колл-Центра" в центральном аппарате ГТС для оперативного реагирования и информирования обращения участников ВЭД и других заинтересованных сторон</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сентября</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благоприятные условия для взаимодействия таможенных органов и участников ВЭД</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65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(Утратила силу в соответствии с </w:t>
            </w:r>
            <w:hyperlink w:history="1" r:id="rIdprpd6cimnxg1f119dss8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29 мая 2023 года № 285)</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Организация ведения делопроизводства в электронном виде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ведомственного регламента определяющего правила планирования и администрирования ресурсами таможенных органов на базе разработанной "ERP systems" ("э-Документ", "э-Кадры", "э-МТР")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 процесс делопроизводства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ведомственного акта по применению электронной подписи должностными лицами в таможенном деле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но</w:t>
            </w:r>
            <w:r>
              <w:rPr>
                <w:rFonts w:ascii="Arial" w:cs="Arial" w:eastAsia="Arial" w:hAnsi="Arial"/>
                <w:sz w:val="24"/>
                <w:szCs w:val="24"/>
              </w:rPr>
              <w:t xml:space="preserve">ября 202</w:t>
            </w:r>
            <w:r>
              <w:rPr>
                <w:rFonts w:ascii="Arial" w:cs="Arial" w:eastAsia="Arial" w:hAnsi="Arial"/>
                <w:sz w:val="24"/>
                <w:szCs w:val="24"/>
              </w:rPr>
              <w:t xml:space="preserve">3</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технология работы с документами в электронном виде с применением ЭЦП</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Автоматизация таможенных процессов</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цифровой таможни с целью обеспечения оперативного управления таможенными процессами и прозрачности таможенной службы</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Разработка ЕАИС на базе web-технологии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системы корпоративного сертификационного центра электронной подписи "э-Подпись" для должностных лиц таможенных органов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дека</w:t>
            </w:r>
            <w:r>
              <w:rPr>
                <w:rFonts w:ascii="Arial" w:cs="Arial" w:eastAsia="Arial" w:hAnsi="Arial"/>
                <w:sz w:val="24"/>
                <w:szCs w:val="24"/>
              </w:rPr>
              <w:t xml:space="preserve">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Организована технология работы с документами в электронном виде с применением ЭЦП</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Разработка и внедрение модуля "ERP systems" ЕАИС для планирования и администрирования ресурсами таможенных органов:</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пределах бюджета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ведение делопроизводства в электронном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модуль "э-Кадры";</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октября 2025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модуль "э-Документ"</w:t>
            </w:r>
          </w:p>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 30 октября 2025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"Регистрация" ЕАИС для регистрации товаров и транспортных средств (автомобильные, железнодорожные, авиационные и контейнеры) в пунктах пропусков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Ускорен процесс оформления товаров и транспортных средств, пересекающие через государственные границы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"Электронные разрешительные документы" системы ЕАИС, обеспечивающая обмен информациями между государственными контролирующими органами и таможенной службой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августа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данными по разрешительным документам между ГКО и таможенной службой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"э-Декларация" ЕАИС для таможенного оформления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июля </w:t>
            </w:r>
            <w:r>
              <w:rPr>
                <w:rFonts w:ascii="Arial" w:cs="Arial" w:eastAsia="Arial" w:hAnsi="Arial"/>
                <w:sz w:val="24"/>
                <w:szCs w:val="24"/>
              </w:rPr>
              <w:t xml:space="preserve">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оперативность и прозрачность процесса таможенного оформления и минимизированы контакты между участниками ВЭД и таможенными органами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"э-Платежи" ЕАИС для администрирования таможенных платежей и тарифного регулирования</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апреля</w:t>
            </w:r>
            <w:r>
              <w:rPr>
                <w:rFonts w:ascii="Arial" w:cs="Arial" w:eastAsia="Arial" w:hAnsi="Arial"/>
                <w:sz w:val="24"/>
                <w:szCs w:val="24"/>
              </w:rPr>
              <w:t xml:space="preserve">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эффективность прогнозирования и администрирования таможенных платежей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"Правонарушение"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октября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условия для оперативного расследования путем эффективного использования информационных ресурсов на базе ЕАИС и повышена оперативность при оформлении правонарушений в таможенном деле</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"TRS-Измерение времени выпуска" по автоматизации процедур прохождения транспортных средств в пунктах пропуска и выпуска товаров в местах таможенного оформления для оценки эффективности деятельности таможенных органов в соответствии с рекомендацией "Руководства по измерению времени, необходимого для выпуска товаров" Всемирной Таможенной Организации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прозрачность и оперативность процесса регистрации товаров и транспортных средств в пунктах пропуска и повышена эффективность деятельности МТО</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"GPS система" ЕАИС для контроля доставки товаров и отслеживания перевозок транспортными средствами между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декабря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Минимизированы риски правонарушений по доставке товаров между таможенными органами путем автоматизации системы контроля доставки и отслеживания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"Отчет и анализ" ЕАИС для формирования отчетов по таможенным процессам и процедурам, а так же таможенной статистике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августа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оперативность по формированию разновидных отчетов и создано условие для всестороннего анализа статистических данных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Government" ЕАИС для обмена данными по разрешительным документам в таможенных целях</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необходимыми данными между государственными органами и таможенной службой для таможенных целей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Customs" ЕАИС для обмена предварительными данными между таможенными органами стран-партнеров</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предварительными данными между таможенными органами стран-партнеров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поэтапное внедрение модуля "Customs to Business" ЕАИС для обеспечения информационного взаимодействия между участниками ВЭД и таможенными органами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обмен данными между таможенными органами и участниками ВЭД</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"Личный кабинет участника ВЭД" ЕАИС, обеспечивающая взаимодействия участников ВЭД с таможенными органами, с использованием новых форматов и структур предварительной информации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октября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доступ участников ВЭД к необходимым информационным ресурсам таможенной службы в целях минимизации контактов "чиновник-бизнес"</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 внедрение модуля "Управление рисками" ЕАИС для упрощения таможенного контроля в целях содействия торговли и обеспечения экономической безопасности страны посредством оптимального администрирования таможенными процессами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июля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принятия решения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"Постконтроль" ЕАИС для упрощения таможенного контроля в целях содействия торговли и обеспечения экономической безопасности страны посредством оптимального администрирования таможенными процессами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августа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автоматизированная система принятия решения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модулей "Авто регистрация" и "Авто выпуск" ЕАИС для таможенного оформления товаров и транспортных средств без участия должностных лиц таможенного органа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торгового оборота за счет упрощения контрольных мер по проверке товаров и транспортных средств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автоматизированной системы управления администрирования и учета Интернет-торговли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 таможенный контроль по проверке товаров импортируемых с помощью Интернет-магазинов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модуля "Электронная очередь" системы ЕАИС для обеспечения оптимальной и эффективной организации потоков транспортных средств, перемещаемых через государственные границы с целью исключения их скопления</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30 июня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пропускная способность автомобильных пунктов пропуска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мобильного и web-приложения "SMART Customs" ("СМАРТ Бажы") для совершения необходимых таможенных процессов, с обеспечением оперативного доступа к информационным ресурсам таможенной службы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Облегчен доступ пользователям информационными ресурсами таможенной службы независимо от их местонахождения для повышения оперативности в процессе таможенного оформления</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Кадровый потенциал</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управления и повышение кадрового потенциала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Оптимизация структуры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существующей структуры управления таможенной службы и подготовка проекта новой структуры управления с учетом данной концепции и передового опыта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марта 2023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Оптимизирована структура управления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Повышение роли и влияния профессиональной подготовки кадров на конечные результаты деятельности таможенных органов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подбора и расстановки кадров с применением системы аттестации и оценки знаний таможенных сотрудников в соответствии с квалификационными требованиями</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июня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Повышено качество выполнения работ в таможенных органах и обеспечена прозрачность по трудоустройству в таможенные органы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методологий обучения и учебных программ для регулярного проведения подготовки и переподготовки таможенных сотрудников по категориям должностей с учетом реализованных модулей ЕАИС и современных технологий в таможенной сфере</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мая 202</w:t>
            </w:r>
            <w:r>
              <w:rPr>
                <w:rFonts w:ascii="Arial" w:cs="Arial" w:eastAsia="Arial" w:hAnsi="Arial"/>
                <w:sz w:val="24"/>
                <w:szCs w:val="24"/>
              </w:rPr>
              <w:t xml:space="preserve">4</w:t>
            </w:r>
            <w:r>
              <w:rPr>
                <w:rFonts w:ascii="Arial" w:cs="Arial" w:eastAsia="Arial" w:hAnsi="Arial"/>
                <w:sz w:val="24"/>
                <w:szCs w:val="24"/>
              </w:rPr>
              <w:t xml:space="preserve">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кадрового потенциала по использованию ЕАИС в таможенных процессах</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методологии по системе оценки эффективности деятельности таможенных органов, структурных подразделений и сотрудников таможенной службы (Performance Measurement)</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результативность выполняемых функций подразделениями и сотрудниками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48"/>
            <w:gridSpan w:val="8"/>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Развитие таможенной инфраструктуры</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инфраструктуры таможенных объектов и оснащение современными техническими средствами</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Модернизация пунктов пропуска и мест таможенного оформления с внедрением инновационных технологий</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Анализ существующей таможенной инфраструктуры пунктов пропуска и мест таможенного оформления;</w:t>
            </w:r>
          </w:p>
        </w:tc>
        <w:tc>
          <w:tcPr>
            <w:tcW w:type="dxa" w:w="113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До 1 мая 2022 года</w:t>
            </w:r>
          </w:p>
        </w:tc>
        <w:tc>
          <w:tcPr>
            <w:tcW w:type="dxa" w:w="11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средств международных доноров</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Сформирована информационная база данных инфраструктуры таможенных объектов, технических средств и оборудований.</w:t>
            </w:r>
          </w:p>
          <w:p>
            <w:pPr>
              <w:jc w:val="left"/>
            </w:pPr>
            <w:r>
              <w:rPr>
                <w:rFonts w:ascii="Arial" w:cs="Arial" w:eastAsia="Arial" w:hAnsi="Arial"/>
                <w:sz w:val="24"/>
                <w:szCs w:val="24"/>
              </w:rPr>
              <w:t xml:space="preserve">Таможенная инфраструктура приведена в соответствие с международными стандартами и оснащена современными средствами таможенного контроля</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Модернизация таможенных инфраструктур с применением современных технических средств таможенного контроля, включая стационарные, весогабаритные, мобильные, портативные сканеры, средства радиационного и весогабаритного контроля, видеонаблюдения и других передовых инновационных технологий и интеграция их в ЕАИС</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31 декабря 2022 года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центральной таможенной лаборатории с целью организации и проведения исследования осуществляемых таможенными экспертами с использованием специальных научных познаний для решения задач в области таможенного регулирования, а также анализа всех видов товаров для целей таможенных квалификаций</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w:t>
            </w:r>
            <w:r>
              <w:rPr>
                <w:rFonts w:ascii="Arial" w:cs="Arial" w:eastAsia="Arial" w:hAnsi="Arial"/>
                <w:sz w:val="24"/>
                <w:szCs w:val="24"/>
              </w:rPr>
              <w:t xml:space="preserve">3</w:t>
            </w:r>
            <w:r>
              <w:rPr>
                <w:rFonts w:ascii="Arial" w:cs="Arial" w:eastAsia="Arial" w:hAnsi="Arial"/>
                <w:sz w:val="24"/>
                <w:szCs w:val="24"/>
              </w:rPr>
              <w:t xml:space="preserve">1 </w:t>
            </w:r>
            <w:r>
              <w:rPr>
                <w:rFonts w:ascii="Arial" w:cs="Arial" w:eastAsia="Arial" w:hAnsi="Arial"/>
                <w:sz w:val="24"/>
                <w:szCs w:val="24"/>
              </w:rPr>
              <w:t xml:space="preserve">декабря</w:t>
            </w:r>
            <w:r>
              <w:rPr>
                <w:rFonts w:ascii="Arial" w:cs="Arial" w:eastAsia="Arial" w:hAnsi="Arial"/>
                <w:sz w:val="24"/>
                <w:szCs w:val="24"/>
              </w:rPr>
              <w:t xml:space="preserve"> 2025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средств международных доноров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таможенная экспертиза по товарам</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Улучшение жилищно-бытовых условий сотрудников и работников таможенной службы</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ведомственного жилья и иных объектов социального назначения (лечебно-оздоровительные комплексы, детский сад и т.д.) для сотрудников и работников таможенной службы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2024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 уровень мотивации деятельности сотрудников и работников таможенной службы путем улучшения социальных условий</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ГТС, ГП "ТИ"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Обеспечение сохранения полученной чистой прибыли в ведении ГП "ТИ", в целях использования остатков доходов, полученных ГП "ТИ", для материально-технического и социального обеспечения таможенной службы и ГП "ТИ"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на утверждение проекта постановления КМ, предусматривающего внесение изменений в:</w:t>
            </w:r>
          </w:p>
          <w:p>
            <w:pPr>
              <w:jc w:val="left"/>
            </w:pPr>
            <w:r>
              <w:rPr>
                <w:rFonts w:ascii="Arial" w:cs="Arial" w:eastAsia="Arial" w:hAnsi="Arial"/>
                <w:sz w:val="24"/>
                <w:szCs w:val="24"/>
              </w:rPr>
              <w:t xml:space="preserve">- Положение о государственных предприятиях;</w:t>
            </w:r>
          </w:p>
          <w:p>
            <w:pPr>
              <w:jc w:val="left"/>
            </w:pPr>
            <w:r>
              <w:rPr>
                <w:rFonts w:ascii="Arial" w:cs="Arial" w:eastAsia="Arial" w:hAnsi="Arial"/>
                <w:sz w:val="24"/>
                <w:szCs w:val="24"/>
              </w:rPr>
              <w:t xml:space="preserve">- Устав государственного предприятия "Таможенная инфраструктура"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w:t>
            </w:r>
            <w:r>
              <w:rPr>
                <w:rFonts w:ascii="Arial" w:cs="Arial" w:eastAsia="Arial" w:hAnsi="Arial"/>
                <w:sz w:val="24"/>
                <w:szCs w:val="24"/>
              </w:rPr>
              <w:t xml:space="preserve">марта</w:t>
            </w:r>
            <w:r>
              <w:rPr>
                <w:rFonts w:ascii="Arial" w:cs="Arial" w:eastAsia="Arial" w:hAnsi="Arial"/>
                <w:sz w:val="24"/>
                <w:szCs w:val="24"/>
              </w:rPr>
              <w:t xml:space="preserve"> 2022 года</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использование остатков доходов, полученных ГП "ТИ", для материально-технического и социального обеспечения таможенной службы и ГП "ТИ"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"ТИ"</w:t>
            </w:r>
          </w:p>
        </w:tc>
        <w:tc>
          <w:tcPr>
            <w:tcW w:type="dxa" w:w="11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пункты пропуска* - пункты пропуска расположенные на кыргызском участке внешней границы Евразийского экономического союза.</w:t>
      </w:r>
    </w:p>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ГКО</w:t>
      </w:r>
      <w:r>
        <w:rPr>
          <w:rFonts w:ascii="Arial" w:cs="Arial" w:eastAsia="Arial" w:hAnsi="Arial"/>
          <w:sz w:val="24"/>
          <w:szCs w:val="24"/>
        </w:rPr>
        <w:t xml:space="preserve">	</w:t>
      </w:r>
      <w:r>
        <w:rPr>
          <w:rFonts w:ascii="Arial" w:cs="Arial" w:eastAsia="Arial" w:hAnsi="Arial"/>
          <w:sz w:val="24"/>
          <w:szCs w:val="24"/>
        </w:rPr>
        <w:t xml:space="preserve">государственные контролирующие органы</w:t>
      </w:r>
    </w:p>
    <w:p>
      <w:pPr>
        <w:tabs>
          <w:tab w:val="right" w:pos="10178"/>
        </w:tabs>
        <w:spacing w:after="120"/>
      </w:pPr>
      <w:r>
        <w:rPr>
          <w:rFonts w:ascii="Arial" w:cs="Arial" w:eastAsia="Arial" w:hAnsi="Arial"/>
          <w:b/>
          <w:bCs/>
          <w:sz w:val="24"/>
          <w:szCs w:val="24"/>
        </w:rPr>
        <w:t xml:space="preserve">НОСОПТсИНП</w:t>
      </w:r>
      <w:r>
        <w:rPr>
          <w:rFonts w:ascii="Arial" w:cs="Arial" w:eastAsia="Arial" w:hAnsi="Arial"/>
          <w:sz w:val="24"/>
          <w:szCs w:val="24"/>
        </w:rPr>
        <w:t xml:space="preserve">	</w:t>
      </w:r>
      <w:r>
        <w:rPr>
          <w:rFonts w:ascii="Arial" w:cs="Arial" w:eastAsia="Arial" w:hAnsi="Arial"/>
          <w:sz w:val="24"/>
          <w:szCs w:val="24"/>
        </w:rPr>
        <w:t xml:space="preserve">Национальный оператор системы отслеживания перевозок товаров с использованием навигационных пломб</w:t>
      </w:r>
    </w:p>
    <w:p>
      <w:pPr>
        <w:tabs>
          <w:tab w:val="right" w:pos="10178"/>
        </w:tabs>
        <w:spacing w:after="120"/>
      </w:pPr>
      <w:r>
        <w:rPr>
          <w:rFonts w:ascii="Arial" w:cs="Arial" w:eastAsia="Arial" w:hAnsi="Arial"/>
          <w:b/>
          <w:bCs/>
          <w:sz w:val="24"/>
          <w:szCs w:val="24"/>
        </w:rPr>
        <w:t xml:space="preserve">ВЭД</w:t>
      </w:r>
      <w:r>
        <w:rPr>
          <w:rFonts w:ascii="Arial" w:cs="Arial" w:eastAsia="Arial" w:hAnsi="Arial"/>
          <w:sz w:val="24"/>
          <w:szCs w:val="24"/>
        </w:rPr>
        <w:t xml:space="preserve">	</w:t>
      </w:r>
      <w:r>
        <w:rPr>
          <w:rFonts w:ascii="Arial" w:cs="Arial" w:eastAsia="Arial" w:hAnsi="Arial"/>
          <w:sz w:val="24"/>
          <w:szCs w:val="24"/>
        </w:rPr>
        <w:t xml:space="preserve">внешнеэкономическая деятельность</w:t>
      </w:r>
    </w:p>
    <w:p>
      <w:pPr>
        <w:tabs>
          <w:tab w:val="right" w:pos="10178"/>
        </w:tabs>
        <w:spacing w:after="120"/>
      </w:pPr>
      <w:r>
        <w:rPr>
          <w:rFonts w:ascii="Arial" w:cs="Arial" w:eastAsia="Arial" w:hAnsi="Arial"/>
          <w:b/>
          <w:bCs/>
          <w:sz w:val="24"/>
          <w:szCs w:val="24"/>
        </w:rPr>
        <w:t xml:space="preserve">ТЗ</w:t>
      </w:r>
      <w:r>
        <w:rPr>
          <w:rFonts w:ascii="Arial" w:cs="Arial" w:eastAsia="Arial" w:hAnsi="Arial"/>
          <w:sz w:val="24"/>
          <w:szCs w:val="24"/>
        </w:rPr>
        <w:t xml:space="preserve">	</w:t>
      </w:r>
      <w:r>
        <w:rPr>
          <w:rFonts w:ascii="Arial" w:cs="Arial" w:eastAsia="Arial" w:hAnsi="Arial"/>
          <w:sz w:val="24"/>
          <w:szCs w:val="24"/>
        </w:rPr>
        <w:t xml:space="preserve">техническое задание</w:t>
      </w:r>
    </w:p>
    <w:p>
      <w:pPr>
        <w:tabs>
          <w:tab w:val="right" w:pos="10178"/>
        </w:tabs>
        <w:spacing w:after="120"/>
      </w:pPr>
      <w:r>
        <w:rPr>
          <w:rFonts w:ascii="Arial" w:cs="Arial" w:eastAsia="Arial" w:hAnsi="Arial"/>
          <w:b/>
          <w:bCs/>
          <w:sz w:val="24"/>
          <w:szCs w:val="24"/>
        </w:rPr>
        <w:t xml:space="preserve">ПС ГКНБ</w:t>
      </w:r>
      <w:r>
        <w:rPr>
          <w:rFonts w:ascii="Arial" w:cs="Arial" w:eastAsia="Arial" w:hAnsi="Arial"/>
          <w:sz w:val="24"/>
          <w:szCs w:val="24"/>
        </w:rPr>
        <w:t xml:space="preserve">	</w:t>
      </w:r>
      <w:r>
        <w:rPr>
          <w:rFonts w:ascii="Arial" w:cs="Arial" w:eastAsia="Arial" w:hAnsi="Arial"/>
          <w:sz w:val="24"/>
          <w:szCs w:val="24"/>
        </w:rPr>
        <w:t xml:space="preserve">Пограничная служба Государственного комитета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МСХ</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ГП "Единое окно"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 при Министерстве экономики Кыргызской Республики</w:t>
      </w:r>
    </w:p>
    <w:p>
      <w:pPr>
        <w:tabs>
          <w:tab w:val="right" w:pos="10178"/>
        </w:tabs>
        <w:spacing w:after="120"/>
      </w:pPr>
      <w:r>
        <w:rPr>
          <w:rFonts w:ascii="Arial" w:cs="Arial" w:eastAsia="Arial" w:hAnsi="Arial"/>
          <w:b/>
          <w:bCs/>
          <w:sz w:val="24"/>
          <w:szCs w:val="24"/>
        </w:rPr>
        <w:t xml:space="preserve">ГП "ТИ"</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"Таможенная инфраструктура" при Государственной таможенной службе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ЭЦП</w:t>
      </w:r>
      <w:r>
        <w:rPr>
          <w:rFonts w:ascii="Arial" w:cs="Arial" w:eastAsia="Arial" w:hAnsi="Arial"/>
          <w:sz w:val="24"/>
          <w:szCs w:val="24"/>
        </w:rPr>
        <w:t xml:space="preserve">	</w:t>
      </w:r>
      <w:r>
        <w:rPr>
          <w:rFonts w:ascii="Arial" w:cs="Arial" w:eastAsia="Arial" w:hAnsi="Arial"/>
          <w:sz w:val="24"/>
          <w:szCs w:val="24"/>
        </w:rPr>
        <w:t xml:space="preserve">электронная цифровая подпись</w:t>
      </w:r>
    </w:p>
    <w:p>
      <w:pPr>
        <w:tabs>
          <w:tab w:val="right" w:pos="10178"/>
        </w:tabs>
        <w:spacing w:after="120"/>
      </w:pPr>
      <w:r>
        <w:rPr>
          <w:rFonts w:ascii="Arial" w:cs="Arial" w:eastAsia="Arial" w:hAnsi="Arial"/>
          <w:b/>
          <w:bCs/>
          <w:sz w:val="24"/>
          <w:szCs w:val="24"/>
        </w:rPr>
        <w:t xml:space="preserve">МТО</w:t>
      </w:r>
      <w:r>
        <w:rPr>
          <w:rFonts w:ascii="Arial" w:cs="Arial" w:eastAsia="Arial" w:hAnsi="Arial"/>
          <w:sz w:val="24"/>
          <w:szCs w:val="24"/>
        </w:rPr>
        <w:t xml:space="preserve">	</w:t>
      </w:r>
      <w:r>
        <w:rPr>
          <w:rFonts w:ascii="Arial" w:cs="Arial" w:eastAsia="Arial" w:hAnsi="Arial"/>
          <w:sz w:val="24"/>
          <w:szCs w:val="24"/>
        </w:rPr>
        <w:t xml:space="preserve">место таможенного оформления</w:t>
      </w:r>
    </w:p>
    <w:p>
      <w:pPr>
        <w:tabs>
          <w:tab w:val="right" w:pos="10178"/>
        </w:tabs>
        <w:spacing w:after="120"/>
      </w:pPr>
      <w:r>
        <w:rPr>
          <w:rFonts w:ascii="Arial" w:cs="Arial" w:eastAsia="Arial" w:hAnsi="Arial"/>
          <w:b/>
          <w:bCs/>
          <w:sz w:val="24"/>
          <w:szCs w:val="24"/>
        </w:rPr>
        <w:t xml:space="preserve">ЕАИС</w:t>
      </w:r>
      <w:r>
        <w:rPr>
          <w:rFonts w:ascii="Arial" w:cs="Arial" w:eastAsia="Arial" w:hAnsi="Arial"/>
          <w:sz w:val="24"/>
          <w:szCs w:val="24"/>
        </w:rPr>
        <w:t xml:space="preserve">	</w:t>
      </w:r>
      <w:r>
        <w:rPr>
          <w:rFonts w:ascii="Arial" w:cs="Arial" w:eastAsia="Arial" w:hAnsi="Arial"/>
          <w:sz w:val="24"/>
          <w:szCs w:val="24"/>
        </w:rPr>
        <w:t xml:space="preserve">Единая Автоматизированная Информационная Система таможенной службы</w:t>
      </w:r>
    </w:p>
    <w:p>
      <w:pPr>
        <w:tabs>
          <w:tab w:val="right" w:pos="10178"/>
        </w:tabs>
        <w:spacing w:after="120"/>
      </w:pPr>
      <w:r>
        <w:rPr>
          <w:rFonts w:ascii="Arial" w:cs="Arial" w:eastAsia="Arial" w:hAnsi="Arial"/>
          <w:b/>
          <w:bCs/>
          <w:sz w:val="24"/>
          <w:szCs w:val="24"/>
        </w:rPr>
        <w:t xml:space="preserve">КМ</w:t>
      </w:r>
      <w:r>
        <w:rPr>
          <w:rFonts w:ascii="Arial" w:cs="Arial" w:eastAsia="Arial" w:hAnsi="Arial"/>
          <w:sz w:val="24"/>
          <w:szCs w:val="24"/>
        </w:rPr>
        <w:t xml:space="preserve">	</w:t>
      </w:r>
      <w:r>
        <w:rPr>
          <w:rFonts w:ascii="Arial" w:cs="Arial" w:eastAsia="Arial" w:hAnsi="Arial"/>
          <w:sz w:val="24"/>
          <w:szCs w:val="24"/>
        </w:rPr>
        <w:t xml:space="preserve">Кабинет Министров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13pna9lictrhwwgc-umj">
      <w:r>
        <w:rPr>
          <w:rFonts w:ascii="Arial" w:cs="Arial" w:eastAsia="Arial" w:hAnsi="Arial"/>
          <w:color w:val="132D3F"/>
          <w:sz w:val="16"/>
          <w:szCs w:val="16"/>
          <w:u w:val="single"/>
        </w:rPr>
        <w:t xml:space="preserve">dalil.kg/document/159121</w:t>
      </w:r>
    </w:hyperlink>
  </w:p>
  <w:p>
    <w:pPr>
      <w:spacing w:after="0" w:before="40"/>
      <w:jc w:val="center"/>
    </w:pPr>
    <w:hyperlink w:history="1" r:id="rIdneljvm07ngkstuuhib8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0nyemyke1r3ipj1doe0j" Type="http://schemas.openxmlformats.org/officeDocument/2006/relationships/hyperlink" Target="https://dalil.kg/document/160235" TargetMode="External"/><Relationship Id="rIdnlfu7j1cgg82kpvw8wizt" Type="http://schemas.openxmlformats.org/officeDocument/2006/relationships/hyperlink" Target="https://dalil.kg/document/230016021" TargetMode="External"/><Relationship Id="rIdyfhzpewjjp_ps2iyrqlkp" Type="http://schemas.openxmlformats.org/officeDocument/2006/relationships/hyperlink" Target="https://dalil.kg/document/112301#st_13" TargetMode="External"/><Relationship Id="rIdeufs9861u-eoz1scvl0u5" Type="http://schemas.openxmlformats.org/officeDocument/2006/relationships/hyperlink" Target="https://dalil.kg/document/112301#st_17" TargetMode="External"/><Relationship Id="rId9hafrqp3jbfjsayu_evvf" Type="http://schemas.openxmlformats.org/officeDocument/2006/relationships/hyperlink" Target="https://dalil.kg/document/159121#pr1" TargetMode="External"/><Relationship Id="rId6xn-b2ndtydvqypehw923" Type="http://schemas.openxmlformats.org/officeDocument/2006/relationships/hyperlink" Target="https://dalil.kg/document/159121#pr2" TargetMode="External"/><Relationship Id="rId7d-jayn0nefarkwusa-_1" Type="http://schemas.openxmlformats.org/officeDocument/2006/relationships/hyperlink" Target="https://dalil.kg/document/159121#pr2" TargetMode="External"/><Relationship Id="rIdczdtk5-bzzmxeocj4bv3j" Type="http://schemas.openxmlformats.org/officeDocument/2006/relationships/hyperlink" Target="https://dalil.kg/document/230016021" TargetMode="External"/><Relationship Id="rIdvr-ue7blp8cxihokburik" Type="http://schemas.openxmlformats.org/officeDocument/2006/relationships/hyperlink" Target="https://dalil.kg/document/157005" TargetMode="External"/><Relationship Id="rIdidrbbuxxrwvormtylpxvh" Type="http://schemas.openxmlformats.org/officeDocument/2006/relationships/hyperlink" Target="https://dalil.kg/document/157006" TargetMode="External"/><Relationship Id="rIdxvwfeb8j8b2di0idvub_g" Type="http://schemas.openxmlformats.org/officeDocument/2006/relationships/hyperlink" Target="https://dalil.kg/document/159121" TargetMode="External"/><Relationship Id="rIdkcmk-iqqxacueagibioye" Type="http://schemas.openxmlformats.org/officeDocument/2006/relationships/hyperlink" Target="https://dalil.kg/document/230016021" TargetMode="External"/><Relationship Id="rIdgpp3ocobagfn3bo59q0w1" Type="http://schemas.openxmlformats.org/officeDocument/2006/relationships/hyperlink" Target="https://dalil.kg/document/159339" TargetMode="External"/><Relationship Id="rIdp0nhr3xeihv5ptdobstzo" Type="http://schemas.openxmlformats.org/officeDocument/2006/relationships/hyperlink" Target="https://dalil.kg/document/160233" TargetMode="External"/><Relationship Id="rIdr0g8psjw3empaugvzscfs" Type="http://schemas.openxmlformats.org/officeDocument/2006/relationships/hyperlink" Target="https://dalil.kg/document/230016021" TargetMode="External"/><Relationship Id="rIdlta5r92icru4qtafacnyb" Type="http://schemas.openxmlformats.org/officeDocument/2006/relationships/hyperlink" Target="https://dalil.kg/document/202630" TargetMode="External"/><Relationship Id="rIdbb4rpt5tgwqahi30ecwkk" Type="http://schemas.openxmlformats.org/officeDocument/2006/relationships/hyperlink" Target="https://dalil.kg/document/205424" TargetMode="External"/><Relationship Id="rIdobik8edbwgqpdvgwu7wgm" Type="http://schemas.openxmlformats.org/officeDocument/2006/relationships/hyperlink" Target="https://dalil.kg/document/205396" TargetMode="External"/><Relationship Id="rIdkv4lrj9glxnwzeu5detpx" Type="http://schemas.openxmlformats.org/officeDocument/2006/relationships/hyperlink" Target="https://dalil.kg/document/160233" TargetMode="External"/><Relationship Id="rIdislojpflvce6ryi81qpub" Type="http://schemas.openxmlformats.org/officeDocument/2006/relationships/hyperlink" Target="https://dalil.kg/document/111141" TargetMode="External"/><Relationship Id="rIdftfknyasnihl0xxg7xsrs" Type="http://schemas.openxmlformats.org/officeDocument/2006/relationships/hyperlink" Target="https://dalil.kg/document/160233" TargetMode="External"/><Relationship Id="rIdprpd6cimnxg1f119dss8u" Type="http://schemas.openxmlformats.org/officeDocument/2006/relationships/hyperlink" Target="https://dalil.kg/document/160233"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13pna9lictrhwwgc-umj" Type="http://schemas.openxmlformats.org/officeDocument/2006/relationships/hyperlink" Target="https://dalil.kg/document/159121" TargetMode="External"/><Relationship Id="rIdneljvm07ngkstuuhib8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2026-09-27T00:20:04.947Z</dcterms:created>
  <dcterms:modified xsi:type="dcterms:W3CDTF">2026-09-27T00:20:04.947Z</dcterms:modified>
</cp:coreProperties>
</file>

<file path=docProps/custom.xml><?xml version="1.0" encoding="utf-8"?>
<Properties xmlns="http://schemas.openxmlformats.org/officeDocument/2006/custom-properties" xmlns:vt="http://schemas.openxmlformats.org/officeDocument/2006/docPropsVTypes"/>
</file>