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Фонде развития и материального обеспечения</w:t>
      </w:r>
    </w:p>
    <w:p>
      <w:pPr>
        <w:spacing w:after="240" w:before="200"/>
        <w:jc w:val="center"/>
      </w:pPr>
      <w:r>
        <w:rPr>
          <w:rFonts w:ascii="Arial" w:cs="Arial" w:eastAsia="Arial" w:hAnsi="Arial"/>
          <w:b/>
          <w:bCs/>
          <w:sz w:val="32"/>
          <w:szCs w:val="32"/>
        </w:rPr>
        <w:t xml:space="preserve">Государственной налоговой службы при</w:t>
      </w:r>
    </w:p>
    <w:p>
      <w:pPr>
        <w:spacing w:after="240" w:before="200"/>
        <w:jc w:val="center"/>
      </w:pPr>
      <w:r>
        <w:rPr>
          <w:rFonts w:ascii="Arial" w:cs="Arial" w:eastAsia="Arial" w:hAnsi="Arial"/>
          <w:b/>
          <w:bCs/>
          <w:sz w:val="32"/>
          <w:szCs w:val="32"/>
        </w:rPr>
        <w:t xml:space="preserve">Кабинете Министров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ugkh00kpt3p66j4mallyg">
        <w:r>
          <w:rPr>
            <w:rFonts w:ascii="Arial" w:cs="Arial" w:eastAsia="Arial" w:hAnsi="Arial"/>
            <w:i/>
            <w:iCs/>
            <w:color w:val="1D4ED8"/>
            <w:sz w:val="24"/>
            <w:szCs w:val="24"/>
            <w:u w:val="single"/>
          </w:rPr>
          <w:t xml:space="preserve">2 мая 2023 года № 236</w:t>
        </w:r>
      </w:hyperlink>
      <w:r>
        <w:rPr>
          <w:rFonts w:ascii="Arial" w:cs="Arial" w:eastAsia="Arial" w:hAnsi="Arial"/>
          <w:i/>
          <w:iCs/>
          <w:sz w:val="24"/>
          <w:szCs w:val="24"/>
        </w:rPr>
        <w:t xml:space="preserve">, </w:t>
      </w:r>
      <w:hyperlink w:history="1" r:id="rIdxlos4q2_30j_mx6k-obky">
        <w:r>
          <w:rPr>
            <w:rFonts w:ascii="Arial" w:cs="Arial" w:eastAsia="Arial" w:hAnsi="Arial"/>
            <w:i/>
            <w:iCs/>
            <w:color w:val="1D4ED8"/>
            <w:sz w:val="24"/>
            <w:szCs w:val="24"/>
            <w:u w:val="single"/>
          </w:rPr>
          <w:t xml:space="preserve">13 июня 2024 года № 308</w:t>
        </w:r>
      </w:hyperlink>
      <w:r>
        <w:rPr>
          <w:rFonts w:ascii="Arial" w:cs="Arial" w:eastAsia="Arial" w:hAnsi="Arial"/>
          <w:i/>
          <w:iCs/>
          <w:sz w:val="24"/>
          <w:szCs w:val="24"/>
        </w:rPr>
        <w:t xml:space="preserve">, </w:t>
      </w:r>
      <w:hyperlink w:history="1" r:id="rIdyhotkt0tcg4urt5ruzm1y">
        <w:r>
          <w:rPr>
            <w:rFonts w:ascii="Arial" w:cs="Arial" w:eastAsia="Arial" w:hAnsi="Arial"/>
            <w:i/>
            <w:iCs/>
            <w:color w:val="1D4ED8"/>
            <w:sz w:val="24"/>
            <w:szCs w:val="24"/>
            <w:u w:val="single"/>
          </w:rPr>
          <w:t xml:space="preserve">9 апреля 2025 года № 189</w:t>
        </w:r>
      </w:hyperlink>
      <w:r>
        <w:rPr>
          <w:rFonts w:ascii="Arial" w:cs="Arial" w:eastAsia="Arial" w:hAnsi="Arial"/>
          <w:i/>
          <w:iCs/>
          <w:sz w:val="24"/>
          <w:szCs w:val="24"/>
        </w:rPr>
        <w:t xml:space="preserve">, </w:t>
      </w:r>
      <w:hyperlink w:history="1" r:id="rIdjp9s3mdbeyyntcghw6ic8">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Фонд развития и материального обеспечения Государственной налоговой службы при Кабинете Министров Кыргызской Республики (далее - Государственная налоговая служба) образуется в целях материального стимулирования работников, обеспечения их социальной защищенности и создания необходимых материально-технических условий для эффективной работы органов налоговой службы и государственного учреждения "Салык Сервис" при Государственной налоговой службе при Кабинете Министров Кыргызской Республики (далее - Фонд).</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6wixx-oqp-5v_6ssscndb">
        <w:r>
          <w:rPr>
            <w:rFonts w:ascii="Arial" w:cs="Arial" w:eastAsia="Arial" w:hAnsi="Arial"/>
            <w:i/>
            <w:iCs/>
            <w:color w:val="1D4ED8"/>
            <w:sz w:val="24"/>
            <w:szCs w:val="24"/>
            <w:u w:val="single"/>
          </w:rPr>
          <w:t xml:space="preserve">13 июня 2024 года № 308</w:t>
        </w:r>
      </w:hyperlink>
      <w:r>
        <w:rPr>
          <w:rFonts w:ascii="Arial" w:cs="Arial" w:eastAsia="Arial" w:hAnsi="Arial"/>
          <w:i/>
          <w:iCs/>
          <w:sz w:val="24"/>
          <w:szCs w:val="24"/>
        </w:rPr>
        <w:t xml:space="preserve">, </w:t>
      </w:r>
      <w:hyperlink w:history="1" r:id="rIdfd0nzkbcxugkrko12quo8">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 Источники финансирования и порядок образования Фонда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Фонд формируется за счет финансирования из расходной части республиканского бюджета в размере до пятидесяти процентов от суммы средств, предусмотренных статьей 57 Налогового кодекса Кыргызской Республики в целях финансирования расходов органов налоговой службы.</w:t>
      </w:r>
    </w:p>
    <w:p>
      <w:pPr>
        <w:spacing w:after="120"/>
        <w:ind w:firstLine="397"/>
        <w:jc w:val="both"/>
      </w:pPr>
      <w:r>
        <w:rPr>
          <w:rFonts w:ascii="Arial" w:cs="Arial" w:eastAsia="Arial" w:hAnsi="Arial"/>
          <w:sz w:val="24"/>
          <w:szCs w:val="24"/>
        </w:rPr>
        <w:t xml:space="preserve">Средства Фонда для финансирования ежемесячных постоянных и стимулирующих выплат работникам государственного учреждения "Салык Сервис" при Государственной налоговой службе при Кабинете Министров Кыргызской Республики не должны превышать 70 процентов от фонда оплаты труда государственного учреждения "Салык Сервис" при Государственной налоговой службе при Кабинете Министров Кыргызской Республики.</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afytywgpd6k76eeajwtvf">
        <w:r>
          <w:rPr>
            <w:rFonts w:ascii="Arial" w:cs="Arial" w:eastAsia="Arial" w:hAnsi="Arial"/>
            <w:i/>
            <w:iCs/>
            <w:color w:val="1D4ED8"/>
            <w:sz w:val="24"/>
            <w:szCs w:val="24"/>
            <w:u w:val="single"/>
          </w:rPr>
          <w:t xml:space="preserve">13 июня 2024 года № 308</w:t>
        </w:r>
      </w:hyperlink>
      <w:r>
        <w:rPr>
          <w:rFonts w:ascii="Arial" w:cs="Arial" w:eastAsia="Arial" w:hAnsi="Arial"/>
          <w:i/>
          <w:iCs/>
          <w:sz w:val="24"/>
          <w:szCs w:val="24"/>
        </w:rPr>
        <w:t xml:space="preserve">, </w:t>
      </w:r>
      <w:hyperlink w:history="1" r:id="rIdwljixg8jzmh8mv11_rixt">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Порядок использования средств Фонда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Средства Фонда используются на:</w:t>
      </w:r>
    </w:p>
    <w:p>
      <w:pPr>
        <w:spacing w:after="120"/>
        <w:ind w:firstLine="397"/>
        <w:jc w:val="both"/>
      </w:pPr>
      <w:r>
        <w:rPr>
          <w:rFonts w:ascii="Arial" w:cs="Arial" w:eastAsia="Arial" w:hAnsi="Arial"/>
          <w:sz w:val="24"/>
          <w:szCs w:val="24"/>
        </w:rPr>
        <w:t xml:space="preserve">1) развитие и укрепление материально-технической базы органов Государственной налоговой службы;</w:t>
      </w:r>
    </w:p>
    <w:p>
      <w:pPr>
        <w:spacing w:after="120"/>
        <w:ind w:firstLine="397"/>
        <w:jc w:val="both"/>
      </w:pPr>
      <w:r>
        <w:rPr>
          <w:rFonts w:ascii="Arial" w:cs="Arial" w:eastAsia="Arial" w:hAnsi="Arial"/>
          <w:sz w:val="24"/>
          <w:szCs w:val="24"/>
        </w:rPr>
        <w:t xml:space="preserve">2) проведение социально-культурных и спортивных мероприятий, организацию и проведение мероприятий по повышению профессиональных навыков для сотрудников органов налоговой службы;</w:t>
      </w:r>
    </w:p>
    <w:p>
      <w:pPr>
        <w:spacing w:after="120"/>
        <w:ind w:firstLine="397"/>
        <w:jc w:val="both"/>
      </w:pPr>
      <w:r>
        <w:rPr>
          <w:rFonts w:ascii="Arial" w:cs="Arial" w:eastAsia="Arial" w:hAnsi="Arial"/>
          <w:sz w:val="24"/>
          <w:szCs w:val="24"/>
        </w:rPr>
        <w:t xml:space="preserve">3) материальное поощрение и оказание помощи сотрудникам уполномоченного налогового органа в соответствии с порядком, утверждаемым председателем Государственной налоговой службы;</w:t>
      </w:r>
    </w:p>
    <w:p>
      <w:pPr>
        <w:spacing w:after="120"/>
        <w:ind w:firstLine="397"/>
        <w:jc w:val="both"/>
      </w:pPr>
      <w:r>
        <w:rPr>
          <w:rFonts w:ascii="Arial" w:cs="Arial" w:eastAsia="Arial" w:hAnsi="Arial"/>
          <w:sz w:val="24"/>
          <w:szCs w:val="24"/>
        </w:rPr>
        <w:t xml:space="preserve">4) ежемесячные выплаты сотрудникам Государственной налоговой службы, за исключением технического и младшего обслуживающего персонала, в размере, не превышающем 2,5 должностных окладов на постоянной основе;</w:t>
      </w:r>
    </w:p>
    <w:p>
      <w:pPr>
        <w:spacing w:after="120"/>
        <w:ind w:firstLine="397"/>
        <w:jc w:val="both"/>
      </w:pPr>
      <w:r>
        <w:rPr>
          <w:rFonts w:ascii="Arial" w:cs="Arial" w:eastAsia="Arial" w:hAnsi="Arial"/>
          <w:sz w:val="24"/>
          <w:szCs w:val="24"/>
        </w:rPr>
        <w:t xml:space="preserve">5) ежемесячные стимулирующие выплаты сотрудникам Государственной налоговой службы, за исключением технического и младшего обслуживающего персонала, в размере 0,5 должностного оклада - по результатам работы согласно решению руководителя Государственной налоговой службы;</w:t>
      </w:r>
    </w:p>
    <w:p>
      <w:pPr>
        <w:spacing w:after="120"/>
        <w:ind w:firstLine="397"/>
        <w:jc w:val="both"/>
      </w:pPr>
      <w:r>
        <w:rPr>
          <w:rFonts w:ascii="Arial" w:cs="Arial" w:eastAsia="Arial" w:hAnsi="Arial"/>
          <w:sz w:val="24"/>
          <w:szCs w:val="24"/>
        </w:rPr>
        <w:t xml:space="preserve">6) ежемесячные стимулирующие выплаты техническому и младшему обслуживающему персоналу органов налоговой службы в размере, не превышающем 2,0 должностного оклада;</w:t>
      </w:r>
    </w:p>
    <w:p>
      <w:pPr>
        <w:spacing w:after="120"/>
        <w:ind w:firstLine="397"/>
        <w:jc w:val="both"/>
      </w:pPr>
      <w:r>
        <w:rPr>
          <w:rFonts w:ascii="Arial" w:cs="Arial" w:eastAsia="Arial" w:hAnsi="Arial"/>
          <w:sz w:val="24"/>
          <w:szCs w:val="24"/>
        </w:rPr>
        <w:t xml:space="preserve">7) ежемесячные выплаты работникам государственного учреждения "Салык Сервис" при Государственной налоговой службе при Кабинете Министров Кыргызской Республики в размере, не превышающем 0,5 должностного оклада на постоянной основе;</w:t>
      </w:r>
    </w:p>
    <w:p>
      <w:pPr>
        <w:spacing w:after="120"/>
        <w:ind w:firstLine="397"/>
        <w:jc w:val="both"/>
      </w:pPr>
      <w:r>
        <w:rPr>
          <w:rFonts w:ascii="Arial" w:cs="Arial" w:eastAsia="Arial" w:hAnsi="Arial"/>
          <w:sz w:val="24"/>
          <w:szCs w:val="24"/>
        </w:rPr>
        <w:t xml:space="preserve">8) ежемесячные стимулирующие выплаты работникам государственного учреждения "Салык Сервис" при Государственной налоговой службе при Кабинете Министров Кыргызской Республики в размере 0,3 должностного оклада - по результатам работы согласно решению руководителя Государственной налоговой службы;</w:t>
      </w:r>
    </w:p>
    <w:p>
      <w:pPr>
        <w:spacing w:after="120"/>
        <w:ind w:firstLine="397"/>
        <w:jc w:val="both"/>
      </w:pPr>
      <w:r>
        <w:rPr>
          <w:rFonts w:ascii="Arial" w:cs="Arial" w:eastAsia="Arial" w:hAnsi="Arial"/>
          <w:sz w:val="24"/>
          <w:szCs w:val="24"/>
        </w:rPr>
        <w:t xml:space="preserve">9) другие мероприятия, направленные на улучшение деятельности налоговых органов.</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uucdgr7eh2d5yxdvsjxvn">
        <w:r>
          <w:rPr>
            <w:rFonts w:ascii="Arial" w:cs="Arial" w:eastAsia="Arial" w:hAnsi="Arial"/>
            <w:i/>
            <w:iCs/>
            <w:color w:val="1D4ED8"/>
            <w:sz w:val="24"/>
            <w:szCs w:val="24"/>
            <w:u w:val="single"/>
          </w:rPr>
          <w:t xml:space="preserve">13 июня 2024 года № 308</w:t>
        </w:r>
      </w:hyperlink>
      <w:r>
        <w:rPr>
          <w:rFonts w:ascii="Arial" w:cs="Arial" w:eastAsia="Arial" w:hAnsi="Arial"/>
          <w:i/>
          <w:iCs/>
          <w:sz w:val="24"/>
          <w:szCs w:val="24"/>
        </w:rPr>
        <w:t xml:space="preserve">, </w:t>
      </w:r>
      <w:hyperlink w:history="1" r:id="rId3xno5nogasy-hwydb6nw2">
        <w:r>
          <w:rPr>
            <w:rFonts w:ascii="Arial" w:cs="Arial" w:eastAsia="Arial" w:hAnsi="Arial"/>
            <w:i/>
            <w:iCs/>
            <w:color w:val="1D4ED8"/>
            <w:sz w:val="24"/>
            <w:szCs w:val="24"/>
            <w:u w:val="single"/>
          </w:rPr>
          <w:t xml:space="preserve">9 апреля 2025 года № 189</w:t>
        </w:r>
      </w:hyperlink>
      <w:r>
        <w:rPr>
          <w:rFonts w:ascii="Arial" w:cs="Arial" w:eastAsia="Arial" w:hAnsi="Arial"/>
          <w:i/>
          <w:iCs/>
          <w:sz w:val="24"/>
          <w:szCs w:val="24"/>
        </w:rPr>
        <w:t xml:space="preserve">, </w:t>
      </w:r>
      <w:hyperlink w:history="1" r:id="rIdawm2ixzpw2i0jwrb-nnwg">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Конкретные направления и размеры использования средств Фонда устанавливаются председателем Государственной налоговой службы.</w:t>
      </w:r>
    </w:p>
    <w:p>
      <w:pPr>
        <w:spacing w:after="120"/>
        <w:ind w:firstLine="397"/>
        <w:jc w:val="both"/>
      </w:pPr>
      <w:r>
        <w:rPr>
          <w:rFonts w:ascii="Arial" w:cs="Arial" w:eastAsia="Arial" w:hAnsi="Arial"/>
          <w:i/>
          <w:iCs/>
          <w:sz w:val="24"/>
          <w:szCs w:val="24"/>
        </w:rPr>
        <w:t xml:space="preserve">(Абзац </w:t>
      </w:r>
      <w:r>
        <w:rPr>
          <w:rFonts w:ascii="Arial" w:cs="Arial" w:eastAsia="Arial" w:hAnsi="Arial"/>
          <w:i/>
          <w:iCs/>
          <w:sz w:val="24"/>
          <w:szCs w:val="24"/>
        </w:rPr>
        <w:t xml:space="preserve">второй </w:t>
      </w:r>
      <w:r>
        <w:rPr>
          <w:rFonts w:ascii="Arial" w:cs="Arial" w:eastAsia="Arial" w:hAnsi="Arial"/>
          <w:i/>
          <w:iCs/>
          <w:sz w:val="24"/>
          <w:szCs w:val="24"/>
        </w:rPr>
        <w:t xml:space="preserve">утратил силу в соответствии с </w:t>
      </w:r>
      <w:hyperlink w:history="1" r:id="rIdzyxjokshst9tmbvlgzp4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19 сентября 2025 года № 592)</w:t>
      </w:r>
    </w:p>
    <w:p>
      <w:pPr>
        <w:spacing w:after="120"/>
        <w:ind w:firstLine="397"/>
        <w:jc w:val="both"/>
      </w:pPr>
      <w:r>
        <w:rPr>
          <w:rFonts w:ascii="Arial" w:cs="Arial" w:eastAsia="Arial" w:hAnsi="Arial"/>
          <w:sz w:val="24"/>
          <w:szCs w:val="24"/>
        </w:rPr>
        <w:t xml:space="preserve">За неисполнение поставленных задач и функциональных обязанностей государственный гражданский служащий Государственной налоговой службы и работник государственного учреждения "Салык Сервис" при Государственной налоговой службе при Кабинете Министров Кыргызской Республики могут быть лишены стимулирующей выплаты. Перечень случаев, при которых допускается лишение стимулирующей выплаты к заработной плате, утверждается председателем Государственной налоговой службы.</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ynw1ecywnkyucemw9jcm3">
        <w:r>
          <w:rPr>
            <w:rFonts w:ascii="Arial" w:cs="Arial" w:eastAsia="Arial" w:hAnsi="Arial"/>
            <w:i/>
            <w:iCs/>
            <w:color w:val="1D4ED8"/>
            <w:sz w:val="24"/>
            <w:szCs w:val="24"/>
            <w:u w:val="single"/>
          </w:rPr>
          <w:t xml:space="preserve">2 мая 2023 года № 236</w:t>
        </w:r>
      </w:hyperlink>
      <w:r>
        <w:rPr>
          <w:rFonts w:ascii="Arial" w:cs="Arial" w:eastAsia="Arial" w:hAnsi="Arial"/>
          <w:i/>
          <w:iCs/>
          <w:sz w:val="24"/>
          <w:szCs w:val="24"/>
        </w:rPr>
        <w:t xml:space="preserve">, </w:t>
      </w:r>
      <w:hyperlink w:history="1" r:id="rIdupekikxpzk2iz6yljubs1">
        <w:r>
          <w:rPr>
            <w:rFonts w:ascii="Arial" w:cs="Arial" w:eastAsia="Arial" w:hAnsi="Arial"/>
            <w:i/>
            <w:iCs/>
            <w:color w:val="1D4ED8"/>
            <w:sz w:val="24"/>
            <w:szCs w:val="24"/>
            <w:u w:val="single"/>
          </w:rPr>
          <w:t xml:space="preserve">13 июня 2024 года № 308</w:t>
        </w:r>
      </w:hyperlink>
      <w:r>
        <w:rPr>
          <w:rFonts w:ascii="Arial" w:cs="Arial" w:eastAsia="Arial" w:hAnsi="Arial"/>
          <w:i/>
          <w:iCs/>
          <w:sz w:val="24"/>
          <w:szCs w:val="24"/>
        </w:rPr>
        <w:t xml:space="preserve">, </w:t>
      </w:r>
      <w:hyperlink w:history="1" r:id="rIdebr1epe6icglvy5atmo9d">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4. Порядок учета и отчетность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Расходование средств Фонда производится согласно утвержденным сметам расходов.</w:t>
      </w:r>
    </w:p>
    <w:p>
      <w:pPr>
        <w:spacing w:after="120"/>
        <w:ind w:firstLine="397"/>
        <w:jc w:val="both"/>
      </w:pPr>
      <w:r>
        <w:rPr>
          <w:rFonts w:ascii="Arial" w:cs="Arial" w:eastAsia="Arial" w:hAnsi="Arial"/>
          <w:sz w:val="24"/>
          <w:szCs w:val="24"/>
        </w:rPr>
        <w:t xml:space="preserve">Финансовое подразделение Государственной налоговой службы ведет учет формирования (поступления), распределения средств Фонда, осуществляет контроль за целевым использованием средств согласно сметным назначениям, утверждаемым в установленном порядке, и представляет отчет по указанным средствам распорядителю Фонда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gkh00kpt3p66j4mallyg" Type="http://schemas.openxmlformats.org/officeDocument/2006/relationships/hyperlink" Target="http://kodeks.duckdns.org/document/160142" TargetMode="External"/><Relationship Id="rIdxlos4q2_30j_mx6k-obky" Type="http://schemas.openxmlformats.org/officeDocument/2006/relationships/hyperlink" Target="http://kodeks.duckdns.org/document/230011166" TargetMode="External"/><Relationship Id="rIdyhotkt0tcg4urt5ruzm1y" Type="http://schemas.openxmlformats.org/officeDocument/2006/relationships/hyperlink" Target="http://kodeks.duckdns.org/document/230024837" TargetMode="External"/><Relationship Id="rIdjp9s3mdbeyyntcghw6ic8" Type="http://schemas.openxmlformats.org/officeDocument/2006/relationships/hyperlink" Target="http://kodeks.duckdns.org/document/230033112" TargetMode="External"/><Relationship Id="rId6wixx-oqp-5v_6ssscndb" Type="http://schemas.openxmlformats.org/officeDocument/2006/relationships/hyperlink" Target="http://kodeks.duckdns.org/document/230011166" TargetMode="External"/><Relationship Id="rIdfd0nzkbcxugkrko12quo8" Type="http://schemas.openxmlformats.org/officeDocument/2006/relationships/hyperlink" Target="http://kodeks.duckdns.org/document/230033112" TargetMode="External"/><Relationship Id="rIdafytywgpd6k76eeajwtvf" Type="http://schemas.openxmlformats.org/officeDocument/2006/relationships/hyperlink" Target="http://kodeks.duckdns.org/document/230011166" TargetMode="External"/><Relationship Id="rIdwljixg8jzmh8mv11_rixt" Type="http://schemas.openxmlformats.org/officeDocument/2006/relationships/hyperlink" Target="http://kodeks.duckdns.org/document/230033112" TargetMode="External"/><Relationship Id="rIduucdgr7eh2d5yxdvsjxvn" Type="http://schemas.openxmlformats.org/officeDocument/2006/relationships/hyperlink" Target="http://kodeks.duckdns.org/document/230011166" TargetMode="External"/><Relationship Id="rId3xno5nogasy-hwydb6nw2" Type="http://schemas.openxmlformats.org/officeDocument/2006/relationships/hyperlink" Target="http://kodeks.duckdns.org/document/230024837" TargetMode="External"/><Relationship Id="rIdawm2ixzpw2i0jwrb-nnwg" Type="http://schemas.openxmlformats.org/officeDocument/2006/relationships/hyperlink" Target="http://kodeks.duckdns.org/document/230033112" TargetMode="External"/><Relationship Id="rIdzyxjokshst9tmbvlgzp4x" Type="http://schemas.openxmlformats.org/officeDocument/2006/relationships/hyperlink" Target="http://kodeks.duckdns.org/document/230033112" TargetMode="External"/><Relationship Id="rIdynw1ecywnkyucemw9jcm3" Type="http://schemas.openxmlformats.org/officeDocument/2006/relationships/hyperlink" Target="http://kodeks.duckdns.org/document/160142" TargetMode="External"/><Relationship Id="rIdupekikxpzk2iz6yljubs1" Type="http://schemas.openxmlformats.org/officeDocument/2006/relationships/hyperlink" Target="http://kodeks.duckdns.org/document/230011166" TargetMode="External"/><Relationship Id="rIdebr1epe6icglvy5atmo9d" Type="http://schemas.openxmlformats.org/officeDocument/2006/relationships/hyperlink" Target="http://kodeks.duckdns.org/document/230033112" TargetMode="External"/><Relationship Id="rId7" Type="http://schemas.openxmlformats.org/officeDocument/2006/relationships/image" Target="media/93bec1c1538034512fe33c1434ae0ea86b639d33.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2026-09-23T12:29:42.044Z</dcterms:created>
  <dcterms:modified xsi:type="dcterms:W3CDTF">2026-09-23T12:29:42.044Z</dcterms:modified>
</cp:coreProperties>
</file>

<file path=docProps/custom.xml><?xml version="1.0" encoding="utf-8"?>
<Properties xmlns="http://schemas.openxmlformats.org/officeDocument/2006/custom-properties" xmlns:vt="http://schemas.openxmlformats.org/officeDocument/2006/docPropsVTypes"/>
</file>