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sxcilzvedwtqmbtnmbzk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марта 2022 года № 150)</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определения рыночной цены в связи с потерей товарами качества или иных потребительских свойств</w:t>
      </w:r>
    </w:p>
    <w:p>
      <w:pPr>
        <w:spacing w:after="60"/>
        <w:ind w:firstLine="567"/>
        <w:jc w:val="both"/>
      </w:pPr>
      <w:r>
        <w:rPr>
          <w:rFonts w:ascii="Arial" w:cs="Arial" w:eastAsia="Arial" w:hAnsi="Arial"/>
          <w:sz w:val="24"/>
          <w:szCs w:val="24"/>
        </w:rPr>
        <w:t xml:space="preserve">1. Настоящий Порядок определяет порядок формирования рыночной цены в целях налогообложения при реализации товарно-материальных запасов с учетом скидки, вызванной потерей товарами качества или иных потребительских свойств.</w:t>
      </w:r>
    </w:p>
    <w:p>
      <w:pPr>
        <w:spacing w:after="60"/>
        <w:ind w:firstLine="567"/>
        <w:jc w:val="both"/>
      </w:pPr>
      <w:r>
        <w:rPr>
          <w:rFonts w:ascii="Arial" w:cs="Arial" w:eastAsia="Arial" w:hAnsi="Arial"/>
          <w:sz w:val="24"/>
          <w:szCs w:val="24"/>
        </w:rPr>
        <w:t xml:space="preserve">Примечание: Согласно </w:t>
      </w:r>
      <w:hyperlink w:history="1" r:id="rIdareplnrkgohoj1sdnswup">
        <w:r>
          <w:rPr>
            <w:rFonts w:ascii="Arial" w:cs="Arial" w:eastAsia="Arial" w:hAnsi="Arial"/>
            <w:color w:val="1D4ED8"/>
            <w:sz w:val="24"/>
            <w:szCs w:val="24"/>
            <w:u w:val="single"/>
          </w:rPr>
          <w:t xml:space="preserve">статье 175</w:t>
        </w:r>
      </w:hyperlink>
      <w:r>
        <w:rPr>
          <w:rFonts w:ascii="Arial" w:cs="Arial" w:eastAsia="Arial" w:hAnsi="Arial"/>
          <w:sz w:val="24"/>
          <w:szCs w:val="24"/>
        </w:rPr>
        <w:t xml:space="preserve"> Налогового кодекса Кыргызской Республики (далее - Налоговый кодекс)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 При этом, согласно </w:t>
      </w:r>
      <w:hyperlink w:history="1" r:id="rIddwv4pstf18gmwwcaopkpk">
        <w:r>
          <w:rPr>
            <w:rFonts w:ascii="Arial" w:cs="Arial" w:eastAsia="Arial" w:hAnsi="Arial"/>
            <w:color w:val="1D4ED8"/>
            <w:sz w:val="24"/>
            <w:szCs w:val="24"/>
            <w:u w:val="single"/>
          </w:rPr>
          <w:t xml:space="preserve">статье 176</w:t>
        </w:r>
      </w:hyperlink>
      <w:r>
        <w:rPr>
          <w:rFonts w:ascii="Arial" w:cs="Arial" w:eastAsia="Arial" w:hAnsi="Arial"/>
          <w:sz w:val="24"/>
          <w:szCs w:val="24"/>
        </w:rPr>
        <w:t xml:space="preserve"> Налогового кодекса Кыргызской Республики налогоплательщик определяет доходы и расходы в целях налогообложения методом начисления или кассовым методом.</w:t>
      </w:r>
    </w:p>
    <w:p>
      <w:pPr>
        <w:spacing w:after="60"/>
        <w:ind w:firstLine="567"/>
        <w:jc w:val="both"/>
      </w:pPr>
      <w:r>
        <w:rPr>
          <w:rFonts w:ascii="Arial" w:cs="Arial" w:eastAsia="Arial" w:hAnsi="Arial"/>
          <w:sz w:val="24"/>
          <w:szCs w:val="24"/>
        </w:rPr>
        <w:t xml:space="preserve">2. Согласно части 2 Международного стандарта финансовой отчетности "Запасы" величина частичного списания до возможной чистой стоимости реализации и все потери запасов должны признаваться в бухгалтерском учете в качестве расхода в период проведения списания или возникновения потерь.</w:t>
      </w:r>
    </w:p>
    <w:p>
      <w:pPr>
        <w:spacing w:after="60"/>
        <w:ind w:firstLine="567"/>
        <w:jc w:val="both"/>
      </w:pPr>
      <w:r>
        <w:rPr>
          <w:rFonts w:ascii="Arial" w:cs="Arial" w:eastAsia="Arial" w:hAnsi="Arial"/>
          <w:sz w:val="24"/>
          <w:szCs w:val="24"/>
        </w:rPr>
        <w:t xml:space="preserve">3. Списание запасов ниже себестоимости до возможной цены реализации производится в том случае, если запасы окажутся поврежденными или морально устаревшими, при этом их продажная цена снизится. В случае если возникнет ситуация, при которой стоимость запасов будет невозмещаемой, такие запасы могут быть переоценены до чистой стоимости реализации. Нижний предел определения чистой стоимости реализации стандартом не установлен, он может быть равен нулю.</w:t>
      </w:r>
    </w:p>
    <w:p>
      <w:pPr>
        <w:spacing w:after="60"/>
        <w:ind w:firstLine="567"/>
        <w:jc w:val="both"/>
      </w:pPr>
      <w:r>
        <w:rPr>
          <w:rFonts w:ascii="Arial" w:cs="Arial" w:eastAsia="Arial" w:hAnsi="Arial"/>
          <w:sz w:val="24"/>
          <w:szCs w:val="24"/>
        </w:rPr>
        <w:t xml:space="preserve">4. Для подтверждения порчи товара, его переоценки до возможной стоимости реализации в связи со снижением его потребительских свойств или невозможности использования по своему назначению субъектам предпринимательства следует обратиться в независимую экспертную структуру Торгово-промышленной палаты Кыргызской Республики. Составленный документ по итогам проведенной независимой экспертизы представляется в налоговую службу Кыргызской Республики.</w:t>
      </w:r>
    </w:p>
    <w:p>
      <w:pPr>
        <w:spacing w:after="60"/>
        <w:ind w:firstLine="567"/>
        <w:jc w:val="both"/>
      </w:pPr>
      <w:r>
        <w:rPr>
          <w:rFonts w:ascii="Arial" w:cs="Arial" w:eastAsia="Arial" w:hAnsi="Arial"/>
          <w:sz w:val="24"/>
          <w:szCs w:val="24"/>
        </w:rPr>
        <w:t xml:space="preserve">5. Независимую экспертизу качества и безопасности товаров (работ, услуг) могут производить экспертные структуры Торгово-промышленной палаты Кыргызской Республики, органы по сертификации, аккредитированные в установленном порядке, общественные объединения потребителей (их ассоциации, союзы) с проведением, при необходимости испытаний в испытательных лабораториях на техническую компетентность и независимость соответствующим органом.</w:t>
      </w:r>
    </w:p>
    <w:p>
      <w:pPr>
        <w:spacing w:after="60"/>
        <w:ind w:firstLine="567"/>
        <w:jc w:val="both"/>
      </w:pPr>
      <w:r>
        <w:rPr>
          <w:rFonts w:ascii="Arial" w:cs="Arial" w:eastAsia="Arial" w:hAnsi="Arial"/>
          <w:sz w:val="24"/>
          <w:szCs w:val="24"/>
        </w:rPr>
        <w:t xml:space="preserve">6. В случае признания товаров испорченными и не подлежащими переработке производится физическое уничтожение товара в соответствии с </w:t>
      </w:r>
      <w:hyperlink w:history="1" r:id="rIdceptmdp2tuvslizba673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уничтожения (переработки) продукции (товаров), признанной непригодной к реализации, утвержденным </w:t>
      </w:r>
      <w:hyperlink w:history="1" r:id="rId8myuygfh5tiaidvx9oip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1997 года № 407.</w:t>
      </w:r>
    </w:p>
    <w:p>
      <w:pPr>
        <w:spacing w:after="60"/>
        <w:ind w:firstLine="567"/>
        <w:jc w:val="both"/>
      </w:pPr>
      <w:r>
        <w:rPr>
          <w:rFonts w:ascii="Arial" w:cs="Arial" w:eastAsia="Arial" w:hAnsi="Arial"/>
          <w:sz w:val="24"/>
          <w:szCs w:val="24"/>
        </w:rPr>
        <w:t xml:space="preserve">7. В случае если приобретенные материальные ресурсы, предназначенные для производственных целей, были списаны в связи с порчей в результате неблагоприятных форс-мажорных условий (пожар, наводнение т.п.), то при наличии соответствующих документов, подтверждающих такой факт, заверенных уполномоченным государственным органом, осуществляющим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такая потеря материальных ресурсов является расходами предприятия.</w:t>
      </w:r>
    </w:p>
    <w:p>
      <w:pPr>
        <w:spacing w:after="60"/>
        <w:ind w:firstLine="567"/>
        <w:jc w:val="both"/>
      </w:pPr>
      <w:r>
        <w:rPr>
          <w:rFonts w:ascii="Arial" w:cs="Arial" w:eastAsia="Arial" w:hAnsi="Arial"/>
          <w:sz w:val="24"/>
          <w:szCs w:val="24"/>
        </w:rPr>
        <w:t xml:space="preserve">Примечание: </w:t>
      </w:r>
      <w:hyperlink w:history="1" r:id="rId2qujk3pjtu3z2cypfp2m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 определена Государственная система контроля и надзора за качеством, эффективностью и безопасностью лекарственных средств. В соответствии с правилами обращения с непригодными к реализации и применению лекарственными средствами недоброкачественные, фальсифицированные, с истекшим сроком годности и пришедшие в негодность лекарственные средства подлежат обязательному возврату поставщику или уничтожению. Уничтожение лекарственных средств, непригодных к применению, производится в соответствии с </w:t>
      </w:r>
      <w:hyperlink w:history="1" r:id="rIdxd9lqcdwiyr7siqbshagk">
        <w:r>
          <w:rPr>
            <w:rFonts w:ascii="Arial" w:cs="Arial" w:eastAsia="Arial" w:hAnsi="Arial"/>
            <w:color w:val="1D4ED8"/>
            <w:sz w:val="24"/>
            <w:szCs w:val="24"/>
            <w:u w:val="single"/>
          </w:rPr>
          <w:t xml:space="preserve">Техническим регламентом</w:t>
        </w:r>
      </w:hyperlink>
      <w:r>
        <w:rPr>
          <w:rFonts w:ascii="Arial" w:cs="Arial" w:eastAsia="Arial" w:hAnsi="Arial"/>
          <w:sz w:val="24"/>
          <w:szCs w:val="24"/>
        </w:rPr>
        <w:t xml:space="preserve"> "О безопасности лекарственных средств для медицинского применения", утвержденным </w:t>
      </w:r>
      <w:hyperlink w:history="1" r:id="rIdfsd2jadu8taq1x4lvjv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2011 года № 137.</w:t>
      </w:r>
    </w:p>
    <w:p>
      <w:pPr>
        <w:spacing w:after="60"/>
        <w:ind w:firstLine="567"/>
        <w:jc w:val="both"/>
      </w:pPr>
      <w:r>
        <w:rPr>
          <w:rFonts w:ascii="Arial" w:cs="Arial" w:eastAsia="Arial" w:hAnsi="Arial"/>
          <w:sz w:val="24"/>
          <w:szCs w:val="24"/>
        </w:rPr>
        <w:t xml:space="preserve">8. В целях активизации работ по сокращению товарных запасов на складах хозяйствующих субъектов Кыргызской Республики, улучшения их финансового состояния, ускорения оборачиваемости и пополнения оборотными средствами хозяйствующим субъектам независимо от форм собственности разрешается реализовывать остатки залежалой продукции и товаров по ценам ниже себестоимости.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ppabixbpuobhkql7mnx">
      <w:r>
        <w:rPr>
          <w:rFonts w:ascii="Arial" w:cs="Arial" w:eastAsia="Arial" w:hAnsi="Arial"/>
          <w:color w:val="132D3F"/>
          <w:sz w:val="16"/>
          <w:szCs w:val="16"/>
          <w:u w:val="single"/>
        </w:rPr>
        <w:t xml:space="preserve">dalil.kg/document/159168</w:t>
      </w:r>
    </w:hyperlink>
  </w:p>
  <w:p>
    <w:pPr>
      <w:spacing w:after="0" w:before="40"/>
      <w:jc w:val="center"/>
    </w:pPr>
    <w:hyperlink w:history="1" r:id="rIdqxs2b-7zmfdkw_ajbbz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cilzvedwtqmbtnmbzkk" Type="http://schemas.openxmlformats.org/officeDocument/2006/relationships/hyperlink" Target="https://dalil.kg/document/159143" TargetMode="External"/><Relationship Id="rIdareplnrkgohoj1sdnswup" Type="http://schemas.openxmlformats.org/officeDocument/2006/relationships/hyperlink" Target="https://dalil.kg/document/112340#st_175" TargetMode="External"/><Relationship Id="rIddwv4pstf18gmwwcaopkpk" Type="http://schemas.openxmlformats.org/officeDocument/2006/relationships/hyperlink" Target="https://dalil.kg/document/112340#st_176" TargetMode="External"/><Relationship Id="rIdceptmdp2tuvslizba673x" Type="http://schemas.openxmlformats.org/officeDocument/2006/relationships/hyperlink" Target="https://dalil.kg/document/34570" TargetMode="External"/><Relationship Id="rId8myuygfh5tiaidvx9oip0" Type="http://schemas.openxmlformats.org/officeDocument/2006/relationships/hyperlink" Target="https://dalil.kg/document/34569" TargetMode="External"/><Relationship Id="rId2qujk3pjtu3z2cypfp2m9" Type="http://schemas.openxmlformats.org/officeDocument/2006/relationships/hyperlink" Target="https://dalil.kg/document/111672" TargetMode="External"/><Relationship Id="rIdxd9lqcdwiyr7siqbshagk" Type="http://schemas.openxmlformats.org/officeDocument/2006/relationships/hyperlink" Target="https://dalil.kg/document/92701" TargetMode="External"/><Relationship Id="rIdfsd2jadu8taq1x4lvjv6d" Type="http://schemas.openxmlformats.org/officeDocument/2006/relationships/hyperlink" Target="https://dalil.kg/document/9253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ppabixbpuobhkql7mnx" Type="http://schemas.openxmlformats.org/officeDocument/2006/relationships/hyperlink" Target="https://dalil.kg/document/159168" TargetMode="External"/><Relationship Id="rIdqxs2b-7zmfdkw_ajbbz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2026-09-23T22:34:20.092Z</dcterms:created>
  <dcterms:modified xsi:type="dcterms:W3CDTF">2026-09-23T22:34:20.092Z</dcterms:modified>
</cp:coreProperties>
</file>

<file path=docProps/custom.xml><?xml version="1.0" encoding="utf-8"?>
<Properties xmlns="http://schemas.openxmlformats.org/officeDocument/2006/custom-properties" xmlns:vt="http://schemas.openxmlformats.org/officeDocument/2006/docPropsVTypes"/>
</file>