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4</w:t>
      </w:r>
    </w:p>
    <w:p>
      <w:pPr>
        <w:spacing w:after="120"/>
        <w:jc w:val="center"/>
      </w:pPr>
      <w:r>
        <w:rPr>
          <w:rFonts w:ascii="Arial" w:cs="Arial" w:eastAsia="Arial" w:hAnsi="Arial"/>
          <w:i/>
          <w:iCs/>
          <w:sz w:val="24"/>
          <w:szCs w:val="24"/>
        </w:rPr>
        <w:t xml:space="preserve">(к </w:t>
      </w:r>
      <w:hyperlink w:history="1" r:id="rId6forz6mu4hoedt1votw8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марта 2022 года № 150)</w:t>
      </w:r>
    </w:p>
    <w:p>
      <w:pPr>
        <w:spacing w:after="400" w:before="400"/>
        <w:jc w:val="center"/>
      </w:pPr>
      <w:r>
        <w:rPr>
          <w:rFonts w:ascii="Arial" w:cs="Arial" w:eastAsia="Arial" w:hAnsi="Arial"/>
          <w:b/>
          <w:bCs/>
          <w:sz w:val="28"/>
          <w:szCs w:val="28"/>
        </w:rPr>
        <w:t xml:space="preserve">МЕТОДИКА</w:t>
      </w:r>
      <w:r>
        <w:rPr>
          <w:rFonts w:ascii="Arial" w:cs="Arial" w:eastAsia="Arial" w:hAnsi="Arial"/>
          <w:b/>
          <w:bCs/>
          <w:sz w:val="28"/>
          <w:szCs w:val="28"/>
        </w:rPr>
        <w:t xml:space="preserve">
 определения налогового обязательства налогоплательщика на основе косвенных методов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arhx_fltussz2vdnt7wa">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определяет порядок исчисления налогового обязательства налогоплательщика при нарушении порядка ведения налогового учета на основе косвенных методов.</w:t>
      </w:r>
    </w:p>
    <w:p>
      <w:pPr>
        <w:spacing w:after="60"/>
        <w:ind w:firstLine="567"/>
        <w:jc w:val="both"/>
      </w:pPr>
      <w:r>
        <w:rPr>
          <w:rFonts w:ascii="Arial" w:cs="Arial" w:eastAsia="Arial" w:hAnsi="Arial"/>
          <w:sz w:val="24"/>
          <w:szCs w:val="24"/>
        </w:rPr>
        <w:t xml:space="preserve">2. Исчисление налогового обязательства на основе косвенных методов производится налоговыми органами в соответствии со статьями </w:t>
      </w:r>
      <w:hyperlink w:history="1" r:id="rIdlwpcwmcboilcamxsyjbtq">
        <w:r>
          <w:rPr>
            <w:rFonts w:ascii="Arial" w:cs="Arial" w:eastAsia="Arial" w:hAnsi="Arial"/>
            <w:color w:val="1D4ED8"/>
            <w:sz w:val="24"/>
            <w:szCs w:val="24"/>
            <w:u w:val="single"/>
          </w:rPr>
          <w:t xml:space="preserve">137</w:t>
        </w:r>
      </w:hyperlink>
      <w:r>
        <w:rPr>
          <w:rFonts w:ascii="Arial" w:cs="Arial" w:eastAsia="Arial" w:hAnsi="Arial"/>
          <w:sz w:val="24"/>
          <w:szCs w:val="24"/>
        </w:rPr>
        <w:t xml:space="preserve">-</w:t>
      </w:r>
      <w:hyperlink w:history="1" r:id="rId-ue18-32a-x2y3gihm7rz">
        <w:r>
          <w:rPr>
            <w:rFonts w:ascii="Arial" w:cs="Arial" w:eastAsia="Arial" w:hAnsi="Arial"/>
            <w:color w:val="1D4ED8"/>
            <w:sz w:val="24"/>
            <w:szCs w:val="24"/>
            <w:u w:val="single"/>
          </w:rPr>
          <w:t xml:space="preserve">140</w:t>
        </w:r>
      </w:hyperlink>
      <w:r>
        <w:rPr>
          <w:rFonts w:ascii="Arial" w:cs="Arial" w:eastAsia="Arial" w:hAnsi="Arial"/>
          <w:sz w:val="24"/>
          <w:szCs w:val="24"/>
        </w:rPr>
        <w:t xml:space="preserve"> Налогового кодекса Кыргызской Республики (далее - Налоговый кодекс).</w:t>
      </w:r>
    </w:p>
    <w:p>
      <w:pPr>
        <w:spacing w:after="60"/>
        <w:ind w:firstLine="567"/>
        <w:jc w:val="both"/>
      </w:pPr>
      <w:r>
        <w:rPr>
          <w:rFonts w:ascii="Arial" w:cs="Arial" w:eastAsia="Arial" w:hAnsi="Arial"/>
          <w:sz w:val="24"/>
          <w:szCs w:val="24"/>
        </w:rPr>
        <w:t xml:space="preserve">3. Методика определяет совокупность взаимосвязанных способов и приемов определения органами налоговой службы сумм налоговых обязательств, возникших при осуществлении экономической деятельности налогоплательщика, косвенными методами.</w:t>
      </w:r>
    </w:p>
    <w:p>
      <w:pPr>
        <w:spacing w:after="200" w:before="200"/>
        <w:jc w:val="center"/>
      </w:pPr>
      <w:r>
        <w:rPr>
          <w:rFonts w:ascii="Arial" w:cs="Arial" w:eastAsia="Arial" w:hAnsi="Arial"/>
          <w:b/>
          <w:bCs/>
          <w:sz w:val="24"/>
          <w:szCs w:val="24"/>
        </w:rPr>
        <w:t xml:space="preserve">2. Применение рыночной цены товаров, работ или услуг для целей налогообложения</w:t>
      </w:r>
    </w:p>
    <w:p>
      <w:pPr>
        <w:spacing w:after="60"/>
        <w:ind w:firstLine="567"/>
        <w:jc w:val="both"/>
      </w:pPr>
      <w:r>
        <w:rPr>
          <w:rFonts w:ascii="Arial" w:cs="Arial" w:eastAsia="Arial" w:hAnsi="Arial"/>
          <w:sz w:val="24"/>
          <w:szCs w:val="24"/>
        </w:rPr>
        <w:t xml:space="preserve">4. Для целей налогообложения учитывается цена товаров, работ или услуг, фактически применяемая сторонами сделки. В случае, если не доказано обратное, предполагается, что цена соответствует уровню рыночных цен.</w:t>
      </w:r>
    </w:p>
    <w:p>
      <w:pPr>
        <w:spacing w:after="60"/>
        <w:ind w:firstLine="567"/>
        <w:jc w:val="both"/>
      </w:pPr>
      <w:r>
        <w:rPr>
          <w:rFonts w:ascii="Arial" w:cs="Arial" w:eastAsia="Arial" w:hAnsi="Arial"/>
          <w:sz w:val="24"/>
          <w:szCs w:val="24"/>
        </w:rPr>
        <w:t xml:space="preserve">5. Органы налоговой службы при осуществлении контроля полноты исчисления налогов вправе проверять правильность применения цен по сделкам лишь в следующих случаях:</w:t>
      </w:r>
    </w:p>
    <w:p>
      <w:pPr>
        <w:spacing w:after="60"/>
        <w:ind w:firstLine="567"/>
        <w:jc w:val="both"/>
      </w:pPr>
      <w:r>
        <w:rPr>
          <w:rFonts w:ascii="Arial" w:cs="Arial" w:eastAsia="Arial" w:hAnsi="Arial"/>
          <w:sz w:val="24"/>
          <w:szCs w:val="24"/>
        </w:rPr>
        <w:t xml:space="preserve">1) при сделках между взаимозависимыми лицами;</w:t>
      </w:r>
    </w:p>
    <w:p>
      <w:pPr>
        <w:spacing w:after="60"/>
        <w:ind w:firstLine="567"/>
        <w:jc w:val="both"/>
      </w:pPr>
      <w:r>
        <w:rPr>
          <w:rFonts w:ascii="Arial" w:cs="Arial" w:eastAsia="Arial" w:hAnsi="Arial"/>
          <w:sz w:val="24"/>
          <w:szCs w:val="24"/>
        </w:rPr>
        <w:t xml:space="preserve">2) по товарообменным (бартерным) операциям;</w:t>
      </w:r>
    </w:p>
    <w:p>
      <w:pPr>
        <w:spacing w:after="60"/>
        <w:ind w:firstLine="567"/>
        <w:jc w:val="both"/>
      </w:pPr>
      <w:r>
        <w:rPr>
          <w:rFonts w:ascii="Arial" w:cs="Arial" w:eastAsia="Arial" w:hAnsi="Arial"/>
          <w:sz w:val="24"/>
          <w:szCs w:val="24"/>
        </w:rPr>
        <w:t xml:space="preserve">3) при совершении внешнеторговых сделок;</w:t>
      </w:r>
    </w:p>
    <w:p>
      <w:pPr>
        <w:spacing w:after="60"/>
        <w:ind w:firstLine="567"/>
        <w:jc w:val="both"/>
      </w:pPr>
      <w:r>
        <w:rPr>
          <w:rFonts w:ascii="Arial" w:cs="Arial" w:eastAsia="Arial" w:hAnsi="Arial"/>
          <w:sz w:val="24"/>
          <w:szCs w:val="24"/>
        </w:rPr>
        <w:t xml:space="preserve">4) при отсутствии подтверждающих документов о реализации товаров, работ или услуг;</w:t>
      </w:r>
    </w:p>
    <w:p>
      <w:pPr>
        <w:spacing w:after="60"/>
        <w:ind w:firstLine="567"/>
        <w:jc w:val="both"/>
      </w:pPr>
      <w:r>
        <w:rPr>
          <w:rFonts w:ascii="Arial" w:cs="Arial" w:eastAsia="Arial" w:hAnsi="Arial"/>
          <w:sz w:val="24"/>
          <w:szCs w:val="24"/>
        </w:rPr>
        <w:t xml:space="preserve">5) при сделках с субъектами, обладающими признаками бездействующего лица;</w:t>
      </w:r>
    </w:p>
    <w:p>
      <w:pPr>
        <w:spacing w:after="60"/>
        <w:ind w:firstLine="567"/>
        <w:jc w:val="both"/>
      </w:pPr>
      <w:r>
        <w:rPr>
          <w:rFonts w:ascii="Arial" w:cs="Arial" w:eastAsia="Arial" w:hAnsi="Arial"/>
          <w:sz w:val="24"/>
          <w:szCs w:val="24"/>
        </w:rPr>
        <w:t xml:space="preserve">6) при сделках с субъектами предпринимательства, применяющими специальный налоговый режим;</w:t>
      </w:r>
    </w:p>
    <w:p>
      <w:pPr>
        <w:spacing w:after="60"/>
        <w:ind w:firstLine="567"/>
        <w:jc w:val="both"/>
      </w:pPr>
      <w:r>
        <w:rPr>
          <w:rFonts w:ascii="Arial" w:cs="Arial" w:eastAsia="Arial" w:hAnsi="Arial"/>
          <w:sz w:val="24"/>
          <w:szCs w:val="24"/>
        </w:rPr>
        <w:t xml:space="preserve">7) при сделках с товарами, в отношении которых установлен минимальный уровень контрольных цен в соответствии со </w:t>
      </w:r>
      <w:hyperlink w:history="1" r:id="rIdwq0tyx8vqnkzxyel5lthy">
        <w:r>
          <w:rPr>
            <w:rFonts w:ascii="Arial" w:cs="Arial" w:eastAsia="Arial" w:hAnsi="Arial"/>
            <w:color w:val="1D4ED8"/>
            <w:sz w:val="24"/>
            <w:szCs w:val="24"/>
            <w:u w:val="single"/>
          </w:rPr>
          <w:t xml:space="preserve">статьей 139</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если у органов налоговой службы имеются факты, свидетельствующие о том, что налогоплательщиком при определении налогового обязательства использовались подложные документы, на основании которых им было занижено налоговое обязательство, органы налоговой службы вправе вынести обоснованное решение о доначислении налога, пени и налоговых санкций.</w:t>
      </w:r>
    </w:p>
    <w:p>
      <w:pPr>
        <w:spacing w:after="120"/>
        <w:jc w:val="both"/>
      </w:pPr>
      <w:r>
        <w:rPr>
          <w:rFonts w:ascii="Arial" w:cs="Arial" w:eastAsia="Arial" w:hAnsi="Arial"/>
          <w:sz w:val="24"/>
          <w:szCs w:val="24"/>
        </w:rPr>
        <w:t xml:space="preserve">6. В случаях, предусмотренных частью 2 </w:t>
      </w:r>
      <w:hyperlink w:history="1" r:id="rIdxw8k4cnfmcs97etnfbozl">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когда цены на товары, работы или услуги, примененные сторонами сделки, отличаются от рыночной цены более чем на 20 (двадцать) процентов, орган налоговой службы вправе вынести мотивированное решение о доначислении налога, пени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aicp7wng-rpdqecclv9p">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w:t>
      </w:r>
      <w:hyperlink w:history="1" r:id="rId1kzwdtsk_vqro4imhryux">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отличаются более чем на 30 процентов от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120"/>
        <w:jc w:val="both"/>
      </w:pPr>
      <w:r>
        <w:rPr>
          <w:rFonts w:ascii="Arial" w:cs="Arial" w:eastAsia="Arial" w:hAnsi="Arial"/>
          <w:sz w:val="24"/>
          <w:szCs w:val="24"/>
        </w:rPr>
        <w:t xml:space="preserve">В целях настоящего пункта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c80urnsnouo1fiqjcdpd">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Рыночная цена сделки используется, если налогоплательщик не докажет, что сделка фактически совершена по ценам, указанным в документах, и отклонение от рыночной цены экономически обоснованно.</w:t>
      </w:r>
    </w:p>
    <w:p>
      <w:pPr>
        <w:spacing w:after="60"/>
        <w:ind w:firstLine="567"/>
        <w:jc w:val="both"/>
      </w:pPr>
      <w:r>
        <w:rPr>
          <w:rFonts w:ascii="Arial" w:cs="Arial" w:eastAsia="Arial" w:hAnsi="Arial"/>
          <w:sz w:val="24"/>
          <w:szCs w:val="24"/>
        </w:rPr>
        <w:t xml:space="preserve">8. Рыночные цены могут быть применены в случаях:</w:t>
      </w:r>
    </w:p>
    <w:p>
      <w:pPr>
        <w:spacing w:after="60"/>
        <w:ind w:firstLine="567"/>
        <w:jc w:val="both"/>
      </w:pPr>
      <w:r>
        <w:rPr>
          <w:rFonts w:ascii="Arial" w:cs="Arial" w:eastAsia="Arial" w:hAnsi="Arial"/>
          <w:sz w:val="24"/>
          <w:szCs w:val="24"/>
        </w:rPr>
        <w:t xml:space="preserve">1) когда одна из сторон отрицает участие в совершенной сделке;</w:t>
      </w:r>
    </w:p>
    <w:p>
      <w:pPr>
        <w:spacing w:after="60"/>
        <w:ind w:firstLine="567"/>
        <w:jc w:val="both"/>
      </w:pPr>
      <w:r>
        <w:rPr>
          <w:rFonts w:ascii="Arial" w:cs="Arial" w:eastAsia="Arial" w:hAnsi="Arial"/>
          <w:sz w:val="24"/>
          <w:szCs w:val="24"/>
        </w:rPr>
        <w:t xml:space="preserve">2) когда налоговой службой установлено, что согласно представленным документам одной из сторон сделки являются:</w:t>
      </w:r>
    </w:p>
    <w:p>
      <w:pPr>
        <w:spacing w:after="60"/>
        <w:ind w:firstLine="567"/>
        <w:jc w:val="both"/>
      </w:pPr>
      <w:r>
        <w:rPr>
          <w:rFonts w:ascii="Arial" w:cs="Arial" w:eastAsia="Arial" w:hAnsi="Arial"/>
          <w:sz w:val="24"/>
          <w:szCs w:val="24"/>
        </w:rPr>
        <w:t xml:space="preserve">- подставное лицо, не имеющее отношения к совершенной сделке;</w:t>
      </w:r>
    </w:p>
    <w:p>
      <w:pPr>
        <w:spacing w:after="60"/>
        <w:ind w:firstLine="567"/>
        <w:jc w:val="both"/>
      </w:pPr>
      <w:r>
        <w:rPr>
          <w:rFonts w:ascii="Arial" w:cs="Arial" w:eastAsia="Arial" w:hAnsi="Arial"/>
          <w:sz w:val="24"/>
          <w:szCs w:val="24"/>
        </w:rPr>
        <w:t xml:space="preserve">- неустановленное лицо;</w:t>
      </w:r>
    </w:p>
    <w:p>
      <w:pPr>
        <w:spacing w:after="60"/>
        <w:ind w:firstLine="567"/>
        <w:jc w:val="both"/>
      </w:pPr>
      <w:r>
        <w:rPr>
          <w:rFonts w:ascii="Arial" w:cs="Arial" w:eastAsia="Arial" w:hAnsi="Arial"/>
          <w:sz w:val="24"/>
          <w:szCs w:val="24"/>
        </w:rPr>
        <w:t xml:space="preserve">- субъект, обладающий признаками бездействующего лица;</w:t>
      </w:r>
    </w:p>
    <w:p>
      <w:pPr>
        <w:spacing w:after="60"/>
        <w:ind w:firstLine="567"/>
        <w:jc w:val="both"/>
      </w:pPr>
      <w:r>
        <w:rPr>
          <w:rFonts w:ascii="Arial" w:cs="Arial" w:eastAsia="Arial" w:hAnsi="Arial"/>
          <w:sz w:val="24"/>
          <w:szCs w:val="24"/>
        </w:rPr>
        <w:t xml:space="preserve">3) когда сделка совершена без намерения создать соответствующие ей правовые последствия или когда поставки совершены с целью прикрытия другой сделки, трактуемые статьями </w:t>
      </w:r>
      <w:hyperlink w:history="1" r:id="rIdahmvdwo2oi8e3kytow-ae">
        <w:r>
          <w:rPr>
            <w:rFonts w:ascii="Arial" w:cs="Arial" w:eastAsia="Arial" w:hAnsi="Arial"/>
            <w:color w:val="1D4ED8"/>
            <w:sz w:val="24"/>
            <w:szCs w:val="24"/>
            <w:u w:val="single"/>
          </w:rPr>
          <w:t xml:space="preserve">185</w:t>
        </w:r>
      </w:hyperlink>
      <w:r>
        <w:rPr>
          <w:rFonts w:ascii="Arial" w:cs="Arial" w:eastAsia="Arial" w:hAnsi="Arial"/>
          <w:sz w:val="24"/>
          <w:szCs w:val="24"/>
        </w:rPr>
        <w:t xml:space="preserve"> и </w:t>
      </w:r>
      <w:hyperlink w:history="1" r:id="rIdt2a2oq6rwvfxcmmsbobxo">
        <w:r>
          <w:rPr>
            <w:rFonts w:ascii="Arial" w:cs="Arial" w:eastAsia="Arial" w:hAnsi="Arial"/>
            <w:color w:val="1D4ED8"/>
            <w:sz w:val="24"/>
            <w:szCs w:val="24"/>
            <w:u w:val="single"/>
          </w:rPr>
          <w:t xml:space="preserve">188</w:t>
        </w:r>
      </w:hyperlink>
      <w:r>
        <w:rPr>
          <w:rFonts w:ascii="Arial" w:cs="Arial" w:eastAsia="Arial" w:hAnsi="Arial"/>
          <w:sz w:val="24"/>
          <w:szCs w:val="24"/>
        </w:rPr>
        <w:t xml:space="preserve"> Гражданского кодекса Кыргызской Республики;</w:t>
      </w:r>
    </w:p>
    <w:p>
      <w:pPr>
        <w:spacing w:after="60"/>
        <w:ind w:firstLine="567"/>
        <w:jc w:val="both"/>
      </w:pPr>
      <w:r>
        <w:rPr>
          <w:rFonts w:ascii="Arial" w:cs="Arial" w:eastAsia="Arial" w:hAnsi="Arial"/>
          <w:sz w:val="24"/>
          <w:szCs w:val="24"/>
        </w:rPr>
        <w:t xml:space="preserve">4) когда налоговой службой установлено, что у субъекта в наличии не имеется товаров, факт реализации которых подтвержден документально;</w:t>
      </w:r>
    </w:p>
    <w:p>
      <w:pPr>
        <w:spacing w:after="60"/>
        <w:ind w:firstLine="567"/>
        <w:jc w:val="both"/>
      </w:pPr>
      <w:r>
        <w:rPr>
          <w:rFonts w:ascii="Arial" w:cs="Arial" w:eastAsia="Arial" w:hAnsi="Arial"/>
          <w:sz w:val="24"/>
          <w:szCs w:val="24"/>
        </w:rPr>
        <w:t xml:space="preserve">5) когда между сторонами сделки присутствует сговор, влияющий на необоснованное занижение налогового обязательства;</w:t>
      </w:r>
    </w:p>
    <w:p>
      <w:pPr>
        <w:spacing w:after="60"/>
        <w:ind w:firstLine="567"/>
        <w:jc w:val="both"/>
      </w:pPr>
      <w:r>
        <w:rPr>
          <w:rFonts w:ascii="Arial" w:cs="Arial" w:eastAsia="Arial" w:hAnsi="Arial"/>
          <w:sz w:val="24"/>
          <w:szCs w:val="24"/>
        </w:rPr>
        <w:t xml:space="preserve">6) другие случаи экономически необоснованного отклонения от рыночной цены.</w:t>
      </w:r>
    </w:p>
    <w:p>
      <w:pPr>
        <w:spacing w:after="60"/>
        <w:ind w:firstLine="567"/>
        <w:jc w:val="both"/>
      </w:pPr>
      <w:r>
        <w:rPr>
          <w:rFonts w:ascii="Arial" w:cs="Arial" w:eastAsia="Arial" w:hAnsi="Arial"/>
          <w:sz w:val="24"/>
          <w:szCs w:val="24"/>
        </w:rPr>
        <w:t xml:space="preserve">9. При определении рыночной цены учитываются обычные надбавки к цене или скидки, устанавливаемые при совершении сделок между лицами, не являющимися взаимозависимыми. В частности, учитываются надбавки и скидки, вызванные:</w:t>
      </w:r>
    </w:p>
    <w:p>
      <w:pPr>
        <w:spacing w:after="60"/>
        <w:ind w:firstLine="567"/>
        <w:jc w:val="both"/>
      </w:pPr>
      <w:r>
        <w:rPr>
          <w:rFonts w:ascii="Arial" w:cs="Arial" w:eastAsia="Arial" w:hAnsi="Arial"/>
          <w:sz w:val="24"/>
          <w:szCs w:val="24"/>
        </w:rPr>
        <w:t xml:space="preserve">1) сезонными и иными колебаниями потребительского спроса на товары, работы и услуги;</w:t>
      </w:r>
    </w:p>
    <w:p>
      <w:pPr>
        <w:spacing w:after="60"/>
        <w:ind w:firstLine="567"/>
        <w:jc w:val="both"/>
      </w:pPr>
      <w:r>
        <w:rPr>
          <w:rFonts w:ascii="Arial" w:cs="Arial" w:eastAsia="Arial" w:hAnsi="Arial"/>
          <w:sz w:val="24"/>
          <w:szCs w:val="24"/>
        </w:rPr>
        <w:t xml:space="preserve">2) потерей товарами качества или иных потребительских свойств,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истечением или приближением истечения даты сроков годности или реализации товаров;</w:t>
      </w:r>
    </w:p>
    <w:p>
      <w:pPr>
        <w:spacing w:after="60"/>
        <w:ind w:firstLine="567"/>
        <w:jc w:val="both"/>
      </w:pPr>
      <w:r>
        <w:rPr>
          <w:rFonts w:ascii="Arial" w:cs="Arial" w:eastAsia="Arial" w:hAnsi="Arial"/>
          <w:sz w:val="24"/>
          <w:szCs w:val="24"/>
        </w:rPr>
        <w:t xml:space="preserve">4) маркетинговой политикой, в том числе при продвижении на рынке новых товаров, не имеющих аналогов, а также при продвижении товаров, работ, услуг на новые рынки;</w:t>
      </w:r>
    </w:p>
    <w:p>
      <w:pPr>
        <w:spacing w:after="60"/>
        <w:ind w:firstLine="567"/>
        <w:jc w:val="both"/>
      </w:pPr>
      <w:r>
        <w:rPr>
          <w:rFonts w:ascii="Arial" w:cs="Arial" w:eastAsia="Arial" w:hAnsi="Arial"/>
          <w:sz w:val="24"/>
          <w:szCs w:val="24"/>
        </w:rPr>
        <w:t xml:space="preserve">5) реализацией опытных моделей и образцов товаров в целях ознакомления с ними потребителей.</w:t>
      </w:r>
    </w:p>
    <w:p>
      <w:pPr>
        <w:spacing w:after="60"/>
        <w:ind w:firstLine="567"/>
        <w:jc w:val="both"/>
      </w:pPr>
      <w:r>
        <w:rPr>
          <w:rFonts w:ascii="Arial" w:cs="Arial" w:eastAsia="Arial" w:hAnsi="Arial"/>
          <w:sz w:val="24"/>
          <w:szCs w:val="24"/>
        </w:rPr>
        <w:t xml:space="preserve">10. При определении рыночных цен на товары, работы или услуги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60"/>
        <w:ind w:firstLine="567"/>
        <w:jc w:val="both"/>
      </w:pPr>
      <w:r>
        <w:rPr>
          <w:rFonts w:ascii="Arial" w:cs="Arial" w:eastAsia="Arial" w:hAnsi="Arial"/>
          <w:sz w:val="24"/>
          <w:szCs w:val="24"/>
        </w:rPr>
        <w:t xml:space="preserve">11. Взаимозависимыми лицами могут быть признаны субъекты, отношения между которыми могут оказывать влияние на условия или экономические результаты их деятельности или деятельности представляемых ими субъектов, а именно:</w:t>
      </w:r>
    </w:p>
    <w:p>
      <w:pPr>
        <w:spacing w:after="60"/>
        <w:ind w:firstLine="567"/>
        <w:jc w:val="both"/>
      </w:pPr>
      <w:r>
        <w:rPr>
          <w:rFonts w:ascii="Arial" w:cs="Arial" w:eastAsia="Arial" w:hAnsi="Arial"/>
          <w:sz w:val="24"/>
          <w:szCs w:val="24"/>
        </w:rPr>
        <w:t xml:space="preserve">1) субъект непосредственно или косвенно участвует в организации или суммарная доля такого участия составляет более 20 процентов;</w:t>
      </w:r>
    </w:p>
    <w:p>
      <w:pPr>
        <w:spacing w:after="60"/>
        <w:ind w:firstLine="567"/>
        <w:jc w:val="both"/>
      </w:pPr>
      <w:r>
        <w:rPr>
          <w:rFonts w:ascii="Arial" w:cs="Arial" w:eastAsia="Arial" w:hAnsi="Arial"/>
          <w:sz w:val="24"/>
          <w:szCs w:val="24"/>
        </w:rPr>
        <w:t xml:space="preserve">2) две организации, в которых участвует третий субъект, непосредственная и/или косвенная доля участия которого в каждой из них составляет более 5 процентов или контролируется таким субъектом;</w:t>
      </w:r>
    </w:p>
    <w:p>
      <w:pPr>
        <w:spacing w:after="60"/>
        <w:ind w:firstLine="567"/>
        <w:jc w:val="both"/>
      </w:pPr>
      <w:r>
        <w:rPr>
          <w:rFonts w:ascii="Arial" w:cs="Arial" w:eastAsia="Arial" w:hAnsi="Arial"/>
          <w:sz w:val="24"/>
          <w:szCs w:val="24"/>
        </w:rPr>
        <w:t xml:space="preserve">3) одно физическое лицо подчиняется другому физическому лицу по должностному положению;</w:t>
      </w:r>
    </w:p>
    <w:p>
      <w:pPr>
        <w:spacing w:after="60"/>
        <w:ind w:firstLine="567"/>
        <w:jc w:val="both"/>
      </w:pPr>
      <w:r>
        <w:rPr>
          <w:rFonts w:ascii="Arial" w:cs="Arial" w:eastAsia="Arial" w:hAnsi="Arial"/>
          <w:sz w:val="24"/>
          <w:szCs w:val="24"/>
        </w:rPr>
        <w:t xml:space="preserve">4) субъекты, между которыми возникают отношения, регулируемые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5) близкие родственники;</w:t>
      </w:r>
    </w:p>
    <w:p>
      <w:pPr>
        <w:spacing w:after="60"/>
        <w:ind w:firstLine="567"/>
        <w:jc w:val="both"/>
      </w:pPr>
      <w:r>
        <w:rPr>
          <w:rFonts w:ascii="Arial" w:cs="Arial" w:eastAsia="Arial" w:hAnsi="Arial"/>
          <w:sz w:val="24"/>
          <w:szCs w:val="24"/>
        </w:rPr>
        <w:t xml:space="preserve">6) учредитель управления и доверительный управляющий.</w:t>
      </w:r>
    </w:p>
    <w:p>
      <w:pPr>
        <w:spacing w:after="60"/>
        <w:ind w:firstLine="567"/>
        <w:jc w:val="both"/>
      </w:pPr>
      <w:r>
        <w:rPr>
          <w:rFonts w:ascii="Arial" w:cs="Arial" w:eastAsia="Arial" w:hAnsi="Arial"/>
          <w:sz w:val="24"/>
          <w:szCs w:val="24"/>
        </w:rPr>
        <w:t xml:space="preserve">Суд может признать субъекты взаимозависимыми по иным основаниям, если отношения между этими субъектами могут повлиять на результаты сделок между ними.</w:t>
      </w:r>
    </w:p>
    <w:p>
      <w:pPr>
        <w:spacing w:after="60"/>
        <w:ind w:firstLine="567"/>
        <w:jc w:val="both"/>
      </w:pPr>
      <w:r>
        <w:rPr>
          <w:rFonts w:ascii="Arial" w:cs="Arial" w:eastAsia="Arial" w:hAnsi="Arial"/>
          <w:sz w:val="24"/>
          <w:szCs w:val="24"/>
        </w:rPr>
        <w:t xml:space="preserve">12. При определении и признании рыночной цены на товары, работы или услуги используются официальные источники информации о рыночных ценах на товары, работы или услуги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w:t>
      </w:r>
    </w:p>
    <w:p>
      <w:pPr>
        <w:spacing w:after="60"/>
        <w:ind w:firstLine="567"/>
        <w:jc w:val="both"/>
      </w:pPr>
      <w:r>
        <w:rPr>
          <w:rFonts w:ascii="Arial" w:cs="Arial" w:eastAsia="Arial" w:hAnsi="Arial"/>
          <w:sz w:val="24"/>
          <w:szCs w:val="24"/>
        </w:rPr>
        <w:t xml:space="preserve">13. В качестве рыночной цены на товары, работы или услуги используются данные бюллетеня цен на товары, работы или услуги сложившихся на рынке, Национального статистического комитета Кыргызской Республики, издаваемого ежеквартально.</w:t>
      </w:r>
    </w:p>
    <w:p>
      <w:pPr>
        <w:spacing w:after="60"/>
        <w:ind w:firstLine="567"/>
        <w:jc w:val="both"/>
      </w:pPr>
      <w:r>
        <w:rPr>
          <w:rFonts w:ascii="Arial" w:cs="Arial" w:eastAsia="Arial" w:hAnsi="Arial"/>
          <w:sz w:val="24"/>
          <w:szCs w:val="24"/>
        </w:rPr>
        <w:t xml:space="preserve">При реализации товаров, работ или услуг по государственным регулируемым ценам (тарифам), установленным законодательством Кыргызской Республики, для целей налогообложения принимаются указанные цены (тарифы).</w:t>
      </w:r>
    </w:p>
    <w:p>
      <w:pPr>
        <w:spacing w:after="60"/>
        <w:ind w:firstLine="567"/>
        <w:jc w:val="both"/>
      </w:pPr>
      <w:r>
        <w:rPr>
          <w:rFonts w:ascii="Arial" w:cs="Arial" w:eastAsia="Arial" w:hAnsi="Arial"/>
          <w:sz w:val="24"/>
          <w:szCs w:val="24"/>
        </w:rPr>
        <w:t xml:space="preserve">14. Рыночная цена на товары, работы или услуги определяется на основе информации о сделках, заключенных на момент реализации этих товаров, работ или услуг, с идентичными и/или однородными товарами, работами, услугами в сопоставимых условиях. В частности, учитываются такие условия сделок, как количество или объем поставляемых товаров (например, объем товарной партии), сроки исполнения обязательств, условия платежей, обычно применяемых в подобных сделках, а также иные разумные условия, которые могут оказывать влияние на цены.</w:t>
      </w:r>
    </w:p>
    <w:p>
      <w:pPr>
        <w:spacing w:after="60"/>
        <w:ind w:firstLine="567"/>
        <w:jc w:val="both"/>
      </w:pPr>
      <w:r>
        <w:rPr>
          <w:rFonts w:ascii="Arial" w:cs="Arial" w:eastAsia="Arial" w:hAnsi="Arial"/>
          <w:sz w:val="24"/>
          <w:szCs w:val="24"/>
        </w:rPr>
        <w:t xml:space="preserve">При этом условия сделок на рынке идентичных, а при их отсутствии однородных товаров, работ или услуг признаются сопоставимыми, если различия между такими условиями либо существенно не влияют на цену таких товаров, работ или услуг, либо могут быть учтены с помощью поправок.</w:t>
      </w:r>
    </w:p>
    <w:p>
      <w:pPr>
        <w:spacing w:after="60"/>
        <w:ind w:firstLine="567"/>
        <w:jc w:val="both"/>
      </w:pPr>
      <w:r>
        <w:rPr>
          <w:rFonts w:ascii="Arial" w:cs="Arial" w:eastAsia="Arial" w:hAnsi="Arial"/>
          <w:sz w:val="24"/>
          <w:szCs w:val="24"/>
        </w:rPr>
        <w:t xml:space="preserve">15. Для определения рыночной цены используется метод цены последующей реализации, при котором рыночная цена на товары, работы или услуги, реализуемые продавцом, определяется как разность цены, по которой такие товары, работы или услуги реализованы их покупателем при последующей их перепродаже, и обычных в таких случаях затрат, понесенных этим покупателем при перепродаже и продвижении на рынок приобретенных у покупателя товаров, работ или услуг, а также обычной для данной сферы деятельности прибыли покупателя.</w:t>
      </w:r>
    </w:p>
    <w:p>
      <w:pPr>
        <w:spacing w:after="60"/>
        <w:ind w:firstLine="567"/>
        <w:jc w:val="both"/>
      </w:pPr>
      <w:r>
        <w:rPr>
          <w:rFonts w:ascii="Arial" w:cs="Arial" w:eastAsia="Arial" w:hAnsi="Arial"/>
          <w:sz w:val="24"/>
          <w:szCs w:val="24"/>
        </w:rPr>
        <w:t xml:space="preserve">Например: субъектом приобретено товаров на общую сумму 10 тыс. сомов. Расходы субъекта, связанные с приобретением и дальнейшей реализацией данного товара (перевозка, хранение, погрузка-разгрузка и т.д.), составили 2 тыс. сомов. Прибыль, обычная для данной сферы деятельности, составляет 20 процентов. Таким образом, рыночная цена на данный товар может быть определена в сумме 14400 сомов (10000 + 2000 + 20%).</w:t>
      </w:r>
    </w:p>
    <w:p>
      <w:pPr>
        <w:spacing w:after="60"/>
        <w:ind w:firstLine="567"/>
        <w:jc w:val="both"/>
      </w:pPr>
      <w:r>
        <w:rPr>
          <w:rFonts w:ascii="Arial" w:cs="Arial" w:eastAsia="Arial" w:hAnsi="Arial"/>
          <w:sz w:val="24"/>
          <w:szCs w:val="24"/>
        </w:rPr>
        <w:t xml:space="preserve">16. При невозможности использования метода цены последующей реализации используется метод на основе сложения стоимости, при котором рыночная цена на товары, работы или услуги, реализуемые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и/или приобретение и/или реализацию товаров, работ или услуг, обычные в подобных случаях затраты на транспортировку, хранение, страхование и иные подобные затраты.</w:t>
      </w:r>
    </w:p>
    <w:p>
      <w:pPr>
        <w:spacing w:after="60"/>
        <w:ind w:firstLine="567"/>
        <w:jc w:val="both"/>
      </w:pPr>
      <w:r>
        <w:rPr>
          <w:rFonts w:ascii="Arial" w:cs="Arial" w:eastAsia="Arial" w:hAnsi="Arial"/>
          <w:sz w:val="24"/>
          <w:szCs w:val="24"/>
        </w:rPr>
        <w:t xml:space="preserve">Например: субъектом реализовано товаров на сумму 14400 сомов. Прибыль, обычная для данной сферы деятельности, составляет 20 процентов. Затраты, обычные в подобных случаях (транспортировка, хранение, погрузка-разгрузка и т.д.), составляют 2 тыс. сомов. Рыночная цена приобретения составляет 10 тыс. сомов (14400 - [14400 х 20 / 120] - 2000).</w:t>
      </w:r>
    </w:p>
    <w:p>
      <w:pPr>
        <w:spacing w:after="60"/>
        <w:ind w:firstLine="567"/>
        <w:jc w:val="both"/>
      </w:pPr>
      <w:r>
        <w:rPr>
          <w:rFonts w:ascii="Arial" w:cs="Arial" w:eastAsia="Arial" w:hAnsi="Arial"/>
          <w:sz w:val="24"/>
          <w:szCs w:val="24"/>
        </w:rPr>
        <w:t xml:space="preserve">17. При рассмотрении дела об обжаловании налогоплательщиком решения органа налоговой службы об определении цены сделки в целях налогообложения судом могут быть учтены любые обстоятельства, имеющие значение для определения результатов сделки, не перечисленные в настоящей методике.</w:t>
      </w:r>
    </w:p>
    <w:p>
      <w:pPr>
        <w:spacing w:after="200" w:before="200"/>
        <w:jc w:val="center"/>
      </w:pPr>
      <w:r>
        <w:rPr>
          <w:rFonts w:ascii="Arial" w:cs="Arial" w:eastAsia="Arial" w:hAnsi="Arial"/>
          <w:b/>
          <w:bCs/>
          <w:sz w:val="24"/>
          <w:szCs w:val="24"/>
        </w:rPr>
        <w:t xml:space="preserve">3. Применение косвенных методов на основе оценки активов, обязательств, оборота, затрат, расходов и данных рейдового налогового контроля, снятия остатков товарно-материальных ценностей, налогового поста</w:t>
      </w:r>
    </w:p>
    <w:p>
      <w:pPr>
        <w:spacing w:after="60"/>
        <w:ind w:firstLine="567"/>
        <w:jc w:val="both"/>
      </w:pPr>
      <w:r>
        <w:rPr>
          <w:rFonts w:ascii="Arial" w:cs="Arial" w:eastAsia="Arial" w:hAnsi="Arial"/>
          <w:sz w:val="24"/>
          <w:szCs w:val="24"/>
        </w:rPr>
        <w:t xml:space="preserve">18. При нарушении порядка учета операций за наличный расчет с населением, отсутствии первичных учетных документов, утрате или уничтожении учетной документации органы налоговой службы определяют налоговое обязательство на основе косвенных методов, таких как метод активов, обязательств, оборота, затрат, расходов и/или данных, полученных по результатам установленного налогового поста,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19. Под косвенными методами определения сумм налогового обязательства налогоплательщика подразумевается определение сумм их налоговых обязательств по оценке расходов налогоплательщика, прироста его активов, количества лиц, находящихся с ним в отношениях найма, а также других элементов налоговых баз, принимающихся для расчета налогового обязательства.</w:t>
      </w:r>
    </w:p>
    <w:p>
      <w:pPr>
        <w:spacing w:after="60"/>
        <w:ind w:firstLine="567"/>
        <w:jc w:val="both"/>
      </w:pPr>
      <w:r>
        <w:rPr>
          <w:rFonts w:ascii="Arial" w:cs="Arial" w:eastAsia="Arial" w:hAnsi="Arial"/>
          <w:sz w:val="24"/>
          <w:szCs w:val="24"/>
        </w:rPr>
        <w:t xml:space="preserve">20. Для определения элементов налоговых баз при применении косвенных методов органы налоговой службы могут использовать любую информацию, полученную от предприятий, учреждений, организаций и физических лиц в соответствии с законодательством Кыргызской Республики, которая прямо или косвенно может влиять на определение налогового обязательства налогоплательщика.</w:t>
      </w:r>
    </w:p>
    <w:p>
      <w:pPr>
        <w:spacing w:after="60"/>
        <w:ind w:firstLine="567"/>
        <w:jc w:val="both"/>
      </w:pPr>
      <w:r>
        <w:rPr>
          <w:rFonts w:ascii="Arial" w:cs="Arial" w:eastAsia="Arial" w:hAnsi="Arial"/>
          <w:sz w:val="24"/>
          <w:szCs w:val="24"/>
        </w:rPr>
        <w:t xml:space="preserve">21. Метод определения налогового обязательства на основе анализа активов, обязательств, оборота, затрат, расходов и данных налогового поста базируется на взаимосвязи и взаимозависимости различных экономических показателей, характеризующих экономическую деятельность налогоплательщика.</w:t>
      </w:r>
    </w:p>
    <w:p>
      <w:pPr>
        <w:spacing w:after="60"/>
        <w:ind w:firstLine="567"/>
        <w:jc w:val="both"/>
      </w:pPr>
      <w:r>
        <w:rPr>
          <w:rFonts w:ascii="Arial" w:cs="Arial" w:eastAsia="Arial" w:hAnsi="Arial"/>
          <w:sz w:val="24"/>
          <w:szCs w:val="24"/>
        </w:rPr>
        <w:t xml:space="preserve">22. Анализ активов, обязательств, оборота, затрат, расходов может производиться путем сопоставления следующих показателей:</w:t>
      </w:r>
    </w:p>
    <w:p>
      <w:pPr>
        <w:spacing w:after="60"/>
        <w:ind w:firstLine="567"/>
        <w:jc w:val="both"/>
      </w:pPr>
      <w:r>
        <w:rPr>
          <w:rFonts w:ascii="Arial" w:cs="Arial" w:eastAsia="Arial" w:hAnsi="Arial"/>
          <w:sz w:val="24"/>
          <w:szCs w:val="24"/>
        </w:rPr>
        <w:t xml:space="preserve">1) состояние производственных мощностей;</w:t>
      </w:r>
    </w:p>
    <w:p>
      <w:pPr>
        <w:spacing w:after="60"/>
        <w:ind w:firstLine="567"/>
        <w:jc w:val="both"/>
      </w:pPr>
      <w:r>
        <w:rPr>
          <w:rFonts w:ascii="Arial" w:cs="Arial" w:eastAsia="Arial" w:hAnsi="Arial"/>
          <w:sz w:val="24"/>
          <w:szCs w:val="24"/>
        </w:rPr>
        <w:t xml:space="preserve">2) количество использованного сырья, материалов, электрической и тепловой энергии, воды, тары и прочее;</w:t>
      </w:r>
    </w:p>
    <w:p>
      <w:pPr>
        <w:spacing w:after="60"/>
        <w:ind w:firstLine="567"/>
        <w:jc w:val="both"/>
      </w:pPr>
      <w:r>
        <w:rPr>
          <w:rFonts w:ascii="Arial" w:cs="Arial" w:eastAsia="Arial" w:hAnsi="Arial"/>
          <w:sz w:val="24"/>
          <w:szCs w:val="24"/>
        </w:rPr>
        <w:t xml:space="preserve">3) численность работников и размер оплаты их труда;</w:t>
      </w:r>
    </w:p>
    <w:p>
      <w:pPr>
        <w:spacing w:after="60"/>
        <w:ind w:firstLine="567"/>
        <w:jc w:val="both"/>
      </w:pPr>
      <w:r>
        <w:rPr>
          <w:rFonts w:ascii="Arial" w:cs="Arial" w:eastAsia="Arial" w:hAnsi="Arial"/>
          <w:sz w:val="24"/>
          <w:szCs w:val="24"/>
        </w:rPr>
        <w:t xml:space="preserve">4) другие затраты на производство и реализацию товаров, работ и услуг;</w:t>
      </w:r>
    </w:p>
    <w:p>
      <w:pPr>
        <w:spacing w:after="60"/>
        <w:ind w:firstLine="567"/>
        <w:jc w:val="both"/>
      </w:pPr>
      <w:r>
        <w:rPr>
          <w:rFonts w:ascii="Arial" w:cs="Arial" w:eastAsia="Arial" w:hAnsi="Arial"/>
          <w:sz w:val="24"/>
          <w:szCs w:val="24"/>
        </w:rPr>
        <w:t xml:space="preserve">5) прирост или убыль активов налогоплательщика;</w:t>
      </w:r>
    </w:p>
    <w:p>
      <w:pPr>
        <w:spacing w:after="60"/>
        <w:ind w:firstLine="567"/>
        <w:jc w:val="both"/>
      </w:pPr>
      <w:r>
        <w:rPr>
          <w:rFonts w:ascii="Arial" w:cs="Arial" w:eastAsia="Arial" w:hAnsi="Arial"/>
          <w:sz w:val="24"/>
          <w:szCs w:val="24"/>
        </w:rPr>
        <w:t xml:space="preserve">6) инвентаризация товаров (готовой продукции) на начало и конец отчетного периода;</w:t>
      </w:r>
    </w:p>
    <w:p>
      <w:pPr>
        <w:spacing w:after="60"/>
        <w:ind w:firstLine="567"/>
        <w:jc w:val="both"/>
      </w:pPr>
      <w:r>
        <w:rPr>
          <w:rFonts w:ascii="Arial" w:cs="Arial" w:eastAsia="Arial" w:hAnsi="Arial"/>
          <w:sz w:val="24"/>
          <w:szCs w:val="24"/>
        </w:rPr>
        <w:t xml:space="preserve">7) движение денежных средств на счетах в учреждениях банков;</w:t>
      </w:r>
    </w:p>
    <w:p>
      <w:pPr>
        <w:spacing w:after="60"/>
        <w:ind w:firstLine="567"/>
        <w:jc w:val="both"/>
      </w:pPr>
      <w:r>
        <w:rPr>
          <w:rFonts w:ascii="Arial" w:cs="Arial" w:eastAsia="Arial" w:hAnsi="Arial"/>
          <w:sz w:val="24"/>
          <w:szCs w:val="24"/>
        </w:rPr>
        <w:t xml:space="preserve">8) другие показатели, влияющие на определение налоговой базы.</w:t>
      </w:r>
    </w:p>
    <w:p>
      <w:pPr>
        <w:spacing w:after="60"/>
        <w:ind w:firstLine="567"/>
        <w:jc w:val="both"/>
      </w:pPr>
      <w:r>
        <w:rPr>
          <w:rFonts w:ascii="Arial" w:cs="Arial" w:eastAsia="Arial" w:hAnsi="Arial"/>
          <w:sz w:val="24"/>
          <w:szCs w:val="24"/>
        </w:rPr>
        <w:t xml:space="preserve">23. Определение налогового обязательства косвенным методом может производиться на основании информации, полученной от предприятий, учреждений, организаций и физических лиц в соответствии с законодательством Кыргызской Республики. Кроме того, налоговой службой может быть использована информация, полученная от третьих лиц, которые непосредственно не имели финансовых отношений с проверяемым хозяйствующим субъектом, но при этом осуществляют деятельность, схожую по своим характеристикам с деятельностью налогоплательщика.</w:t>
      </w:r>
    </w:p>
    <w:p>
      <w:pPr>
        <w:spacing w:after="60"/>
        <w:ind w:firstLine="567"/>
        <w:jc w:val="both"/>
      </w:pPr>
      <w:r>
        <w:rPr>
          <w:rFonts w:ascii="Arial" w:cs="Arial" w:eastAsia="Arial" w:hAnsi="Arial"/>
          <w:sz w:val="24"/>
          <w:szCs w:val="24"/>
        </w:rPr>
        <w:t xml:space="preserve">24. При этом показателями для исчисления налоговой базы могут служить:</w:t>
      </w:r>
    </w:p>
    <w:p>
      <w:pPr>
        <w:spacing w:after="60"/>
        <w:ind w:firstLine="567"/>
        <w:jc w:val="both"/>
      </w:pPr>
      <w:r>
        <w:rPr>
          <w:rFonts w:ascii="Arial" w:cs="Arial" w:eastAsia="Arial" w:hAnsi="Arial"/>
          <w:sz w:val="24"/>
          <w:szCs w:val="24"/>
        </w:rPr>
        <w:t xml:space="preserve">1) доход, расход, цены;</w:t>
      </w:r>
    </w:p>
    <w:p>
      <w:pPr>
        <w:spacing w:after="60"/>
        <w:ind w:firstLine="567"/>
        <w:jc w:val="both"/>
      </w:pPr>
      <w:r>
        <w:rPr>
          <w:rFonts w:ascii="Arial" w:cs="Arial" w:eastAsia="Arial" w:hAnsi="Arial"/>
          <w:sz w:val="24"/>
          <w:szCs w:val="24"/>
        </w:rPr>
        <w:t xml:space="preserve">2) вес, объем, количество;</w:t>
      </w:r>
    </w:p>
    <w:p>
      <w:pPr>
        <w:spacing w:after="60"/>
        <w:ind w:firstLine="567"/>
        <w:jc w:val="both"/>
      </w:pPr>
      <w:r>
        <w:rPr>
          <w:rFonts w:ascii="Arial" w:cs="Arial" w:eastAsia="Arial" w:hAnsi="Arial"/>
          <w:sz w:val="24"/>
          <w:szCs w:val="24"/>
        </w:rPr>
        <w:t xml:space="preserve">3) спрос;</w:t>
      </w:r>
    </w:p>
    <w:p>
      <w:pPr>
        <w:spacing w:after="60"/>
        <w:ind w:firstLine="567"/>
        <w:jc w:val="both"/>
      </w:pPr>
      <w:r>
        <w:rPr>
          <w:rFonts w:ascii="Arial" w:cs="Arial" w:eastAsia="Arial" w:hAnsi="Arial"/>
          <w:sz w:val="24"/>
          <w:szCs w:val="24"/>
        </w:rPr>
        <w:t xml:space="preserve">4) местность.</w:t>
      </w:r>
    </w:p>
    <w:p>
      <w:pPr>
        <w:spacing w:after="60"/>
        <w:ind w:firstLine="567"/>
        <w:jc w:val="both"/>
      </w:pPr>
      <w:r>
        <w:rPr>
          <w:rFonts w:ascii="Arial" w:cs="Arial" w:eastAsia="Arial" w:hAnsi="Arial"/>
          <w:sz w:val="24"/>
          <w:szCs w:val="24"/>
        </w:rPr>
        <w:t xml:space="preserve">Например: в ходе проверки было установлено, что согласно учетным данным налогоплательщика в остатке имеются товаро-материальные ценности на сумму 100 тыс.сомов (по цене приобретения), при этом данный налогоплательщик не смог их предъявить для снятия остатков. Налоговая служба признает данный товар реализованным и путем получения необходимой информации от предприятий, учреждений, организаций и/или физических лиц устанавливает, что на рынке данный товар стоит 120 тыс.сомов, исходя из которых должна определяться налоговая база.</w:t>
      </w:r>
    </w:p>
    <w:p>
      <w:pPr>
        <w:spacing w:after="60"/>
        <w:ind w:firstLine="567"/>
        <w:jc w:val="both"/>
      </w:pPr>
      <w:r>
        <w:rPr>
          <w:rFonts w:ascii="Arial" w:cs="Arial" w:eastAsia="Arial" w:hAnsi="Arial"/>
          <w:sz w:val="24"/>
          <w:szCs w:val="24"/>
        </w:rPr>
        <w:t xml:space="preserve">Налоговой службой получена информация о том, что налогоплательщик - резидент Кыргызской Республики, реализовал на территории другого государства товар, местом происхождения которого является другая страна. Результаты данной операции не отражены в налоговых отчетах или отражены не полностью. Налоговая служба должна произвести перерасчет согласно имеющейся информации.</w:t>
      </w:r>
    </w:p>
    <w:p>
      <w:pPr>
        <w:spacing w:after="60"/>
        <w:ind w:firstLine="567"/>
        <w:jc w:val="both"/>
      </w:pPr>
      <w:r>
        <w:rPr>
          <w:rFonts w:ascii="Arial" w:cs="Arial" w:eastAsia="Arial" w:hAnsi="Arial"/>
          <w:sz w:val="24"/>
          <w:szCs w:val="24"/>
        </w:rPr>
        <w:t xml:space="preserve">25. Косвенный метод определения налогового обязательства может применяться на основании данных, полученных по результатам рейдового налогового контроля, снятия остатков ТМЦ, налогового поста. В случае, если данные рейдового налогового контроля, снятия остатков ТМЦ, налогового поста не соответствуют данным налогоплательщика, налоговая служба вправе внести соответствующие обоснованные изменения в отчетность налогоплательщика.</w:t>
      </w:r>
    </w:p>
    <w:p>
      <w:pPr>
        <w:spacing w:after="200" w:before="200"/>
        <w:jc w:val="center"/>
      </w:pPr>
      <w:r>
        <w:rPr>
          <w:rFonts w:ascii="Arial" w:cs="Arial" w:eastAsia="Arial" w:hAnsi="Arial"/>
          <w:b/>
          <w:bCs/>
          <w:sz w:val="24"/>
          <w:szCs w:val="24"/>
        </w:rPr>
        <w:t xml:space="preserve">4. Проведение и оформление результатов проверки с использованием косвенных методов определения налогового обязательства</w:t>
      </w:r>
    </w:p>
    <w:p>
      <w:pPr>
        <w:spacing w:after="60"/>
        <w:ind w:firstLine="567"/>
        <w:jc w:val="both"/>
      </w:pPr>
      <w:r>
        <w:rPr>
          <w:rFonts w:ascii="Arial" w:cs="Arial" w:eastAsia="Arial" w:hAnsi="Arial"/>
          <w:sz w:val="24"/>
          <w:szCs w:val="24"/>
        </w:rPr>
        <w:t xml:space="preserve">26. Определение налогового обязательства на основе косвенных методов может производиться налоговой службой при выездных и камеральных проверках. При этом для данных действий не требуется оформления специального предписания.</w:t>
      </w:r>
    </w:p>
    <w:p>
      <w:pPr>
        <w:spacing w:after="60"/>
        <w:ind w:firstLine="567"/>
        <w:jc w:val="both"/>
      </w:pPr>
      <w:r>
        <w:rPr>
          <w:rFonts w:ascii="Arial" w:cs="Arial" w:eastAsia="Arial" w:hAnsi="Arial"/>
          <w:sz w:val="24"/>
          <w:szCs w:val="24"/>
        </w:rPr>
        <w:t xml:space="preserve">27. При проведении выездной проверки, в случае применения косвенных методов определения налогового обязательства, все материалы, использованные при этом, а также расчеты должны быть отражены в отчете о результатах выездной проверки, который оформляется в соответствии со </w:t>
      </w:r>
      <w:hyperlink w:history="1" r:id="rId3x2ngxci8pl9ffshqno_x">
        <w:r>
          <w:rPr>
            <w:rFonts w:ascii="Arial" w:cs="Arial" w:eastAsia="Arial" w:hAnsi="Arial"/>
            <w:color w:val="1D4ED8"/>
            <w:sz w:val="24"/>
            <w:szCs w:val="24"/>
            <w:u w:val="single"/>
          </w:rPr>
          <w:t xml:space="preserve">статьей 105</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По результатам выездной проверки руководителем налогового органа или его заместителем выносится решение в соответствии со </w:t>
      </w:r>
      <w:hyperlink w:history="1" r:id="rIdasn3-ibnsw4ubbyqqdjhf">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Налогового кодекса, на основании которого налогоплательщику вручается уведомление в порядке, установленном Налоговым </w:t>
      </w:r>
      <w:hyperlink w:history="1" r:id="rIdoqrh2loc5f2d9b_whug0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28. При проведении камеральной проверки, по результатам определения налогового обязательства косвенным методом, составляется справка, которая должна содержать полную информацию о причинах и основаниях произведенных начислений, документах, использованных при этом. К справке должны быть приложены необходимые документы или их копии, расчеты и другие материалы, использованные при начислении.</w:t>
      </w:r>
    </w:p>
    <w:p>
      <w:pPr>
        <w:spacing w:after="60"/>
        <w:ind w:firstLine="567"/>
        <w:jc w:val="both"/>
      </w:pPr>
      <w:r>
        <w:rPr>
          <w:rFonts w:ascii="Arial" w:cs="Arial" w:eastAsia="Arial" w:hAnsi="Arial"/>
          <w:sz w:val="24"/>
          <w:szCs w:val="24"/>
        </w:rPr>
        <w:t xml:space="preserve">В случае если в ходе проведения камеральной проверки с использованием косвенных методов определения налогового обязательства были установлены факты занижения суммы налога, налоговый орган письменно извещает налогоплательщика о выявленных нарушениях с требованием об их устранении в течение 15 (пятнадцати) календарных дней.</w:t>
      </w:r>
    </w:p>
    <w:p>
      <w:pPr>
        <w:spacing w:after="60"/>
        <w:ind w:firstLine="567"/>
        <w:jc w:val="both"/>
      </w:pPr>
      <w:r>
        <w:rPr>
          <w:rFonts w:ascii="Arial" w:cs="Arial" w:eastAsia="Arial" w:hAnsi="Arial"/>
          <w:sz w:val="24"/>
          <w:szCs w:val="24"/>
        </w:rPr>
        <w:t xml:space="preserve">29. В случаях если налогоплательщик не согласен с решением налоговой службы, он вправе обжаловать его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tvstqgihjeo6okpaopk">
      <w:r>
        <w:rPr>
          <w:rFonts w:ascii="Arial" w:cs="Arial" w:eastAsia="Arial" w:hAnsi="Arial"/>
          <w:color w:val="132D3F"/>
          <w:sz w:val="16"/>
          <w:szCs w:val="16"/>
          <w:u w:val="single"/>
        </w:rPr>
        <w:t xml:space="preserve">dalil.kg/document/159169</w:t>
      </w:r>
    </w:hyperlink>
  </w:p>
  <w:p>
    <w:pPr>
      <w:spacing w:after="0" w:before="40"/>
      <w:jc w:val="center"/>
    </w:pPr>
    <w:hyperlink w:history="1" r:id="rId0urrgsnq62gzz1jbexg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orz6mu4hoedt1votw8m" Type="http://schemas.openxmlformats.org/officeDocument/2006/relationships/hyperlink" Target="https://dalil.kg/document/159143" TargetMode="External"/><Relationship Id="rIdgarhx_fltussz2vdnt7wa" Type="http://schemas.openxmlformats.org/officeDocument/2006/relationships/hyperlink" Target="https://dalil.kg/document/160417" TargetMode="External"/><Relationship Id="rIdlwpcwmcboilcamxsyjbtq" Type="http://schemas.openxmlformats.org/officeDocument/2006/relationships/hyperlink" Target="https://dalil.kg/document/112340#st_137" TargetMode="External"/><Relationship Id="rId-ue18-32a-x2y3gihm7rz" Type="http://schemas.openxmlformats.org/officeDocument/2006/relationships/hyperlink" Target="https://dalil.kg/document/112340#st_140" TargetMode="External"/><Relationship Id="rIdwq0tyx8vqnkzxyel5lthy" Type="http://schemas.openxmlformats.org/officeDocument/2006/relationships/hyperlink" Target="https://dalil.kg/document/112340#st_139" TargetMode="External"/><Relationship Id="rIdxw8k4cnfmcs97etnfbozl" Type="http://schemas.openxmlformats.org/officeDocument/2006/relationships/hyperlink" Target="https://dalil.kg/document/112340#st_139" TargetMode="External"/><Relationship Id="rIdlaicp7wng-rpdqecclv9p" Type="http://schemas.openxmlformats.org/officeDocument/2006/relationships/hyperlink" Target="https://dalil.kg/document/160417" TargetMode="External"/><Relationship Id="rId1kzwdtsk_vqro4imhryux" Type="http://schemas.openxmlformats.org/officeDocument/2006/relationships/hyperlink" Target="https://dalil.kg/document/112340#st_139" TargetMode="External"/><Relationship Id="rIdkc80urnsnouo1fiqjcdpd" Type="http://schemas.openxmlformats.org/officeDocument/2006/relationships/hyperlink" Target="https://dalil.kg/document/160417" TargetMode="External"/><Relationship Id="rIdahmvdwo2oi8e3kytow-ae" Type="http://schemas.openxmlformats.org/officeDocument/2006/relationships/hyperlink" Target="https://dalil.kg/document/4#st_185" TargetMode="External"/><Relationship Id="rIdt2a2oq6rwvfxcmmsbobxo" Type="http://schemas.openxmlformats.org/officeDocument/2006/relationships/hyperlink" Target="https://dalil.kg/document/4#st_188" TargetMode="External"/><Relationship Id="rId3x2ngxci8pl9ffshqno_x" Type="http://schemas.openxmlformats.org/officeDocument/2006/relationships/hyperlink" Target="https://dalil.kg/document/112340#st_105" TargetMode="External"/><Relationship Id="rIdasn3-ibnsw4ubbyqqdjhf" Type="http://schemas.openxmlformats.org/officeDocument/2006/relationships/hyperlink" Target="https://dalil.kg/document/112340#st_106" TargetMode="External"/><Relationship Id="rIdoqrh2loc5f2d9b_whug0r"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tvstqgihjeo6okpaopk" Type="http://schemas.openxmlformats.org/officeDocument/2006/relationships/hyperlink" Target="https://dalil.kg/document/159169" TargetMode="External"/><Relationship Id="rId0urrgsnq62gzz1jbexg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2026-09-24T16:41:17.344Z</dcterms:created>
  <dcterms:modified xsi:type="dcterms:W3CDTF">2026-09-24T16:41:17.344Z</dcterms:modified>
</cp:coreProperties>
</file>

<file path=docProps/custom.xml><?xml version="1.0" encoding="utf-8"?>
<Properties xmlns="http://schemas.openxmlformats.org/officeDocument/2006/custom-properties" xmlns:vt="http://schemas.openxmlformats.org/officeDocument/2006/docPropsVTypes"/>
</file>