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tjhof3ivxj1wr16ycql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21 апреля 2022 года № 228)</w:t>
      </w:r>
    </w:p>
    <w:p>
      <w:pPr>
        <w:spacing w:after="400" w:before="400"/>
        <w:jc w:val="center"/>
      </w:pPr>
      <w:r>
        <w:rPr>
          <w:rFonts w:ascii="Arial" w:cs="Arial" w:eastAsia="Arial" w:hAnsi="Arial"/>
          <w:b/>
          <w:bCs/>
          <w:sz w:val="24"/>
          <w:szCs w:val="24"/>
        </w:rPr>
        <w:t xml:space="preserve">КОНЦЕПЦИЯ</w:t>
      </w:r>
      <w:r>
        <w:rPr>
          <w:rFonts w:ascii="Arial" w:cs="Arial" w:eastAsia="Arial" w:hAnsi="Arial"/>
          <w:b/>
          <w:bCs/>
          <w:sz w:val="24"/>
          <w:szCs w:val="24"/>
        </w:rPr>
        <w:t xml:space="preserve">
 развития креативной экономики в Кыргызской Республике на 2022-2026 годы</w:t>
      </w:r>
    </w:p>
    <w:p>
      <w:pPr>
        <w:spacing w:after="200" w:before="200"/>
        <w:jc w:val="center"/>
      </w:pPr>
      <w:r>
        <w:rPr>
          <w:rFonts w:ascii="Arial" w:cs="Arial" w:eastAsia="Arial" w:hAnsi="Arial"/>
          <w:b/>
          <w:bCs/>
          <w:sz w:val="24"/>
          <w:szCs w:val="24"/>
        </w:rPr>
        <w:t xml:space="preserve">I. Анализ текущей ситуации</w:t>
      </w:r>
    </w:p>
    <w:p>
      <w:pPr>
        <w:spacing w:after="60" w:before="200"/>
        <w:ind w:firstLine="567"/>
        <w:jc w:val="both"/>
      </w:pPr>
      <w:r>
        <w:rPr>
          <w:rFonts w:ascii="Arial" w:cs="Arial" w:eastAsia="Arial" w:hAnsi="Arial"/>
          <w:b/>
          <w:bCs/>
          <w:sz w:val="24"/>
          <w:szCs w:val="24"/>
        </w:rPr>
        <w:t xml:space="preserve">1.1. Отраслевая специализация</w:t>
      </w:r>
    </w:p>
    <w:p>
      <w:pPr>
        <w:spacing w:after="60"/>
        <w:ind w:firstLine="567"/>
        <w:jc w:val="both"/>
      </w:pPr>
      <w:r>
        <w:rPr>
          <w:rFonts w:ascii="Arial" w:cs="Arial" w:eastAsia="Arial" w:hAnsi="Arial"/>
          <w:sz w:val="24"/>
          <w:szCs w:val="24"/>
        </w:rPr>
        <w:t xml:space="preserve">В государственном классификаторе экономической деятельности, сектор креативной экономики Кыргызстана представлен в 12 отраслях деятельности (издательское дело, ИКТ [включая компьютерные игры], музыка, фото, коммуникации, архитектура, реклама, дизайн и мода, искусство, кино, ювелирное дело) и включает 20 видов отраслевых специализаций креативных индустрий.</w:t>
      </w:r>
    </w:p>
    <w:p>
      <w:pPr>
        <w:spacing w:after="60"/>
        <w:ind w:firstLine="567"/>
        <w:jc w:val="both"/>
      </w:pPr>
      <w:r>
        <w:rPr>
          <w:rFonts w:ascii="Arial" w:cs="Arial" w:eastAsia="Arial" w:hAnsi="Arial"/>
          <w:sz w:val="24"/>
          <w:szCs w:val="24"/>
        </w:rPr>
        <w:t xml:space="preserve">В секторе креативных индустрий Кыргызстана (без учета ИКТ сектора и ювелирного дела) наибольшее развитие получили реклама (деятельность рекламных агентств, СМИ по предоставлению рекламных услуг) - 19,67%, издательское дело (издание книг, газет, журналов и периодических публикаций, прочая издательская деятельность) - 16,41%, искусство (артистическая деятельность, включая сценическое искусство, вспомогательная деятельность в области артистического искусства, деятельность в области прочих видов искусства, театральных и концертных залов, библиотек и архивов, музеев, по сохранению и посещению исторических мест и зданий) - 15,91%, архитектура - 14,91%, компьютерные игры (издание компьютерных игр) - 12,28%, коммуникации (радиовещание, телевидение, деятельность информационных агентств) - 9,39% и кино (производство кинофильмов, видео и телевизионных программ, компоновка кинофильмов, видео и телевизионных программ, распространение кинофильмов, видео и телевизионных программ, показ кинофильмов) - 9,14%.</w:t>
      </w:r>
    </w:p>
    <w:p>
      <w:pPr>
        <w:spacing w:after="60" w:before="200"/>
        <w:ind w:firstLine="567"/>
        <w:jc w:val="both"/>
      </w:pPr>
      <w:r>
        <w:rPr>
          <w:rFonts w:ascii="Arial" w:cs="Arial" w:eastAsia="Arial" w:hAnsi="Arial"/>
          <w:b/>
          <w:bCs/>
          <w:sz w:val="24"/>
          <w:szCs w:val="24"/>
        </w:rPr>
        <w:t xml:space="preserve">1.2. Развитие креативных индустрий в регионах</w:t>
      </w:r>
    </w:p>
    <w:p>
      <w:pPr>
        <w:spacing w:after="60"/>
        <w:ind w:firstLine="567"/>
        <w:jc w:val="both"/>
      </w:pPr>
      <w:r>
        <w:rPr>
          <w:rFonts w:ascii="Arial" w:cs="Arial" w:eastAsia="Arial" w:hAnsi="Arial"/>
          <w:sz w:val="24"/>
          <w:szCs w:val="24"/>
        </w:rPr>
        <w:t xml:space="preserve">Лидирующее место занимает г.Бишкек, где осуществляют деятельность 48,89% от общего числа зарегистрированных компаний, занятых в креативных индустриях. Затем идут Чуйская область - 7,51%, Ошская область - 5,79%, г.Ош - 5,57%, Джалал-Абадская область - 5,25%, Иссык-Кульская область - 3,75%. Наименьшее развитие креативного сектора наблюдается в Баткенской (2,89%), Нарынской (2,68%) и Таласской (1,39%) областях.</w:t>
      </w:r>
    </w:p>
    <w:p>
      <w:pPr>
        <w:spacing w:after="60" w:before="200"/>
        <w:ind w:firstLine="567"/>
        <w:jc w:val="both"/>
      </w:pPr>
      <w:r>
        <w:rPr>
          <w:rFonts w:ascii="Arial" w:cs="Arial" w:eastAsia="Arial" w:hAnsi="Arial"/>
          <w:b/>
          <w:bCs/>
          <w:sz w:val="24"/>
          <w:szCs w:val="24"/>
        </w:rPr>
        <w:t xml:space="preserve">1.3. Вклад креативных индустрий в экономику</w:t>
      </w:r>
    </w:p>
    <w:p>
      <w:pPr>
        <w:spacing w:after="60"/>
        <w:ind w:firstLine="567"/>
        <w:jc w:val="both"/>
      </w:pPr>
      <w:r>
        <w:rPr>
          <w:rFonts w:ascii="Arial" w:cs="Arial" w:eastAsia="Arial" w:hAnsi="Arial"/>
          <w:sz w:val="24"/>
          <w:szCs w:val="24"/>
        </w:rPr>
        <w:t xml:space="preserve">Согласно данным НСК, вклад креативных индустрий в ВВП за последние 5 лет остается на уровне 1% от ВВП, хотя в абсолютном выражении вырос с 4 млрд. сомов в 2014 году до 6,2 млрд. сомов в 2018 году. В 2019 году приток прямых иностранных инвестиций составил порядка полмиллиона долларов США. Основными секторами КЭ, привлекающими прямые иностранные инвестиции (ПИИ), являются виды деятельности, связанные с разработкой и изданием программного обеспечения, а также деятельностью СМИ.</w:t>
      </w:r>
    </w:p>
    <w:p>
      <w:pPr>
        <w:spacing w:after="60"/>
        <w:ind w:firstLine="567"/>
        <w:jc w:val="both"/>
      </w:pPr>
      <w:r>
        <w:rPr>
          <w:rFonts w:ascii="Arial" w:cs="Arial" w:eastAsia="Arial" w:hAnsi="Arial"/>
          <w:sz w:val="24"/>
          <w:szCs w:val="24"/>
        </w:rPr>
        <w:t xml:space="preserve">В целом производство инновационной продукции в республике имеет тенденцию к снижению. Согласно данным Кыргыз патента, наибольший объем произведенной инновационной продукции был достигнут в 2016 году и составил 2,4 млрд. сомов. После этого выпуск инновационной продукции неизменно снижался и достиг своего минимального значения в 2019 году, составив 27,4 млн. сомов или 1,1% от уровня 2016 года.</w:t>
      </w:r>
    </w:p>
    <w:p>
      <w:pPr>
        <w:spacing w:after="60"/>
        <w:ind w:firstLine="567"/>
        <w:jc w:val="both"/>
      </w:pPr>
      <w:r>
        <w:rPr>
          <w:rFonts w:ascii="Arial" w:cs="Arial" w:eastAsia="Arial" w:hAnsi="Arial"/>
          <w:sz w:val="24"/>
          <w:szCs w:val="24"/>
        </w:rPr>
        <w:t xml:space="preserve">Численность сотрудников предприятий КИ, по данным НСК, за последние годы менялась незначительно. Если в 2015 году общее число занятых в КИ было 13999 человек, то по итогам 2019 года их число сократилось до 13135 человек и составило 0,6% от всего занятого населения страны(1). В секторе КЭ высока доля занятости женщин и молодежи. По результатам опроса около 60% занятых в КИ составляют женщины, доля молодежи составляет около 40%. Значительный рост численности работников за последние 5 лет произошел только в области разработки программного обеспечения, так среднее число предприятий этого сектора в 2015 году было 175 и в 2019 году увеличилось в три раза и составило 528. При этом средняя зарплата в секторе выросла с 15556 сомов в 2015 году до 38379 сомов в 2019 году. Таким образом, данный сектор является наиболее динамично развивающимся среди креативных индустрий.</w:t>
      </w:r>
    </w:p>
    <w:p>
      <w:pPr>
        <w:spacing w:after="60" w:before="200"/>
        <w:ind w:firstLine="567"/>
        <w:jc w:val="both"/>
      </w:pPr>
      <w:r>
        <w:rPr>
          <w:rFonts w:ascii="Arial" w:cs="Arial" w:eastAsia="Arial" w:hAnsi="Arial"/>
          <w:b/>
          <w:bCs/>
          <w:sz w:val="24"/>
          <w:szCs w:val="24"/>
        </w:rPr>
        <w:t xml:space="preserve">1.4. Регулирование креативных индустрий</w:t>
      </w:r>
    </w:p>
    <w:p>
      <w:pPr>
        <w:spacing w:after="60"/>
        <w:ind w:firstLine="567"/>
        <w:jc w:val="both"/>
      </w:pPr>
      <w:r>
        <w:rPr>
          <w:rFonts w:ascii="Arial" w:cs="Arial" w:eastAsia="Arial" w:hAnsi="Arial"/>
          <w:sz w:val="24"/>
          <w:szCs w:val="24"/>
        </w:rPr>
        <w:t xml:space="preserve">Государственное регулирование деятельности представителей креативных индустрий не имеет особенностей и осуществляется в рамках общих норм законодательства, регулирующего деятельность субъектов предпринимательства, в том числе и малого. Исключение составляют особые экономические режимы, предусмотренные для субъектов парков высоких технологий и свободных экономических зон, а также налоговое стимулирование инновационной деятельности, предусмотренное налоговым законодательством.</w:t>
      </w:r>
    </w:p>
    <w:p>
      <w:pPr>
        <w:spacing w:after="60" w:before="200"/>
        <w:ind w:firstLine="567"/>
        <w:jc w:val="both"/>
      </w:pPr>
      <w:r>
        <w:rPr>
          <w:rFonts w:ascii="Arial" w:cs="Arial" w:eastAsia="Arial" w:hAnsi="Arial"/>
          <w:b/>
          <w:bCs/>
          <w:sz w:val="24"/>
          <w:szCs w:val="24"/>
        </w:rPr>
        <w:t xml:space="preserve">1.5. Международный опыт развития креативной экономики</w:t>
      </w:r>
    </w:p>
    <w:p>
      <w:pPr>
        <w:spacing w:after="60"/>
        <w:ind w:firstLine="567"/>
        <w:jc w:val="both"/>
      </w:pPr>
      <w:r>
        <w:rPr>
          <w:rFonts w:ascii="Arial" w:cs="Arial" w:eastAsia="Arial" w:hAnsi="Arial"/>
          <w:sz w:val="24"/>
          <w:szCs w:val="24"/>
        </w:rPr>
        <w:t xml:space="preserve">Успехи в развитии креативной экономики демонстрируют многие страны с разным уровнем развития.</w:t>
      </w:r>
    </w:p>
    <w:p>
      <w:pPr>
        <w:spacing w:after="60"/>
        <w:ind w:firstLine="567"/>
        <w:jc w:val="both"/>
      </w:pPr>
      <w:r>
        <w:rPr>
          <w:rFonts w:ascii="Arial" w:cs="Arial" w:eastAsia="Arial" w:hAnsi="Arial"/>
          <w:sz w:val="24"/>
          <w:szCs w:val="24"/>
        </w:rPr>
        <w:t xml:space="preserve">Великобритания считается одной из передовых стран мира по развитию креативной экономики. По данным 2018 года, вклад креативного сектора составляет 5,8% ВВП страны, трудоустроено свыше 2,04 млн. человек, 25% из них в Лондоне.</w:t>
      </w:r>
    </w:p>
    <w:p>
      <w:pPr>
        <w:spacing w:after="60"/>
        <w:ind w:firstLine="567"/>
        <w:jc w:val="both"/>
      </w:pPr>
      <w:r>
        <w:rPr>
          <w:rFonts w:ascii="Arial" w:cs="Arial" w:eastAsia="Arial" w:hAnsi="Arial"/>
          <w:sz w:val="24"/>
          <w:szCs w:val="24"/>
        </w:rPr>
        <w:t xml:space="preserve">Одним из ключевых факторов успешности развития креативного сектора является соблюдение принципа невмешательства государства в экономику, благоприятная бизнес среда, наличие выгодных условий для создания и получения финансирования стартапов, льгот при налогообложении, инструментов защиты прав и урегулирования споров через сильную, независимую судебную систему.</w:t>
      </w:r>
    </w:p>
    <w:p>
      <w:pPr>
        <w:spacing w:after="60"/>
        <w:ind w:firstLine="567"/>
        <w:jc w:val="both"/>
      </w:pPr>
      <w:r>
        <w:rPr>
          <w:rFonts w:ascii="Arial" w:cs="Arial" w:eastAsia="Arial" w:hAnsi="Arial"/>
          <w:sz w:val="24"/>
          <w:szCs w:val="24"/>
        </w:rPr>
        <w:t xml:space="preserve">Основным драйвером развития креативной экономики в Грузии стали реформы, направленные на развитие стартапов и МСБ (через облегчение регистрации, упрощение налоговой системы, цифровизацию и предоставление доступных кредитов), а также туризма. Дополнительным импульсом для развития КЭ в Грузии стало соглашение об ассоциации с Евросоюзом. Это привело к активизации сотрудничества грузинских креативных индустрий с западными фондами в области культуры, к усилению контактов и обменов между креативными профессионалами и впоследствии к созданию множества местных институтов креативной среды в Тбилиси. Благодаря этим факторам с 2010 по 2015 годы креативный сектор рос в три раза быстрее, чем экономика в целом, и доля в ВВП выросла с 0,5 до 1,5% (без учета рынка ИКТ).</w:t>
      </w:r>
    </w:p>
    <w:p>
      <w:pPr>
        <w:spacing w:after="60"/>
        <w:ind w:firstLine="567"/>
        <w:jc w:val="both"/>
      </w:pPr>
      <w:r>
        <w:rPr>
          <w:rFonts w:ascii="Arial" w:cs="Arial" w:eastAsia="Arial" w:hAnsi="Arial"/>
          <w:sz w:val="24"/>
          <w:szCs w:val="24"/>
        </w:rPr>
        <w:t xml:space="preserve">Кения известна как страна, сделавшая ставку на инновации и развитие ИКТ-сектора, в рамках чего создала "Силиконовую саванну" - самый быстрорастущий ИКТ-сектор в Африке, достигший 10% ежегодного роста. В Кении принята национальная стратегия развития "Vision 2030", где развитие науки, инноваций и ИКТ-сектора были включены в основы развития страны, а развитие и экспорт цифровых бизнес-услуг - в качестве одного из приоритетных направлений экономики. Флагманом этого направления стал проект создания парка высоких технологий для аутсорсинга цифровых бизнес-процессов Konza Technology Park. Был сформирован пакет целевых проектов, включая создание хабов (экосистемы ИКТ хабов в г.Найроби) для поддержки ИКТ-сектора. Формирование и реализация национальной политики в этой области проводит отдельное профильное ведомство (ICT Authority).</w:t>
      </w:r>
    </w:p>
    <w:p>
      <w:pPr>
        <w:spacing w:after="200" w:before="200"/>
        <w:jc w:val="center"/>
      </w:pPr>
      <w:r>
        <w:rPr>
          <w:rFonts w:ascii="Arial" w:cs="Arial" w:eastAsia="Arial" w:hAnsi="Arial"/>
          <w:b/>
          <w:bCs/>
          <w:sz w:val="24"/>
          <w:szCs w:val="24"/>
        </w:rPr>
        <w:t xml:space="preserve">II. Достижения и проблемы</w:t>
      </w:r>
    </w:p>
    <w:p>
      <w:pPr>
        <w:spacing w:after="60" w:before="200"/>
        <w:ind w:firstLine="567"/>
        <w:jc w:val="both"/>
      </w:pPr>
      <w:r>
        <w:rPr>
          <w:rFonts w:ascii="Arial" w:cs="Arial" w:eastAsia="Arial" w:hAnsi="Arial"/>
          <w:b/>
          <w:bCs/>
          <w:sz w:val="24"/>
          <w:szCs w:val="24"/>
        </w:rPr>
        <w:t xml:space="preserve">2.1. Основные достижения и тренды</w:t>
      </w:r>
    </w:p>
    <w:p>
      <w:pPr>
        <w:spacing w:after="60"/>
        <w:ind w:firstLine="567"/>
        <w:jc w:val="both"/>
      </w:pPr>
      <w:r>
        <w:rPr>
          <w:rFonts w:ascii="Arial" w:cs="Arial" w:eastAsia="Arial" w:hAnsi="Arial"/>
          <w:sz w:val="24"/>
          <w:szCs w:val="24"/>
        </w:rPr>
        <w:t xml:space="preserve">За последние пять лет наблюдается устойчивый рост креативных индустрий. Динамично развиваются рекламная индустрия, разработка программного обеспечения, производство кинофильмов, видео и телевизионных программ, деятельность в области архитектуры, фотографии, дизайнерские услуги, ювелирное дело, индустрия моды и отрасль развлечений и отдыха (музыка, концертная деятельность, выставки, музеи).</w:t>
      </w:r>
    </w:p>
    <w:p>
      <w:pPr>
        <w:spacing w:after="60"/>
        <w:ind w:firstLine="567"/>
        <w:jc w:val="both"/>
      </w:pPr>
      <w:r>
        <w:rPr>
          <w:rFonts w:ascii="Arial" w:cs="Arial" w:eastAsia="Arial" w:hAnsi="Arial"/>
          <w:sz w:val="24"/>
          <w:szCs w:val="24"/>
        </w:rPr>
        <w:t xml:space="preserve">Основными факторами успеха упомянутых креативных индустрий-лидеров наряду с ростом спроса, наличием доступа на внешние рынки и конкурентоспособностью производимой продукции, является расширение деятельности бизнеса в формате сегмента "В2В" (бизнес для бизнеса), актуализация цифровизации в стране и интенсивность культурной миграции.</w:t>
      </w:r>
    </w:p>
    <w:p>
      <w:pPr>
        <w:spacing w:after="60"/>
        <w:ind w:firstLine="567"/>
        <w:jc w:val="both"/>
      </w:pPr>
      <w:r>
        <w:rPr>
          <w:rFonts w:ascii="Arial" w:cs="Arial" w:eastAsia="Arial" w:hAnsi="Arial"/>
          <w:sz w:val="24"/>
          <w:szCs w:val="24"/>
        </w:rPr>
        <w:t xml:space="preserve">Потенциалом возможных драйверов роста креативной экономики обладают индустрии, располагающие необходимой инфраструктурой, человеческими ресурсами, стабильным потребительским спросом и выходом на экспортные рынки. В Кыргызской Республике такими индустриями являются:</w:t>
      </w:r>
    </w:p>
    <w:p>
      <w:pPr>
        <w:spacing w:after="60"/>
        <w:ind w:firstLine="567"/>
        <w:jc w:val="both"/>
      </w:pPr>
      <w:r>
        <w:rPr>
          <w:rFonts w:ascii="Arial" w:cs="Arial" w:eastAsia="Arial" w:hAnsi="Arial"/>
          <w:sz w:val="24"/>
          <w:szCs w:val="24"/>
        </w:rPr>
        <w:t xml:space="preserve">- сектор ИКТ, включая разработку и издание программного обеспечения;</w:t>
      </w:r>
    </w:p>
    <w:p>
      <w:pPr>
        <w:spacing w:after="60"/>
        <w:ind w:firstLine="567"/>
        <w:jc w:val="both"/>
      </w:pPr>
      <w:r>
        <w:rPr>
          <w:rFonts w:ascii="Arial" w:cs="Arial" w:eastAsia="Arial" w:hAnsi="Arial"/>
          <w:sz w:val="24"/>
          <w:szCs w:val="24"/>
        </w:rPr>
        <w:t xml:space="preserve">- дизайн и мода;</w:t>
      </w:r>
    </w:p>
    <w:p>
      <w:pPr>
        <w:spacing w:after="60"/>
        <w:ind w:firstLine="567"/>
        <w:jc w:val="both"/>
      </w:pPr>
      <w:r>
        <w:rPr>
          <w:rFonts w:ascii="Arial" w:cs="Arial" w:eastAsia="Arial" w:hAnsi="Arial"/>
          <w:sz w:val="24"/>
          <w:szCs w:val="24"/>
        </w:rPr>
        <w:t xml:space="preserve">- производство кинофильмов, видео и телевизионных программ, и другой видео продукции на цифровых и интернет платформах.</w:t>
      </w:r>
    </w:p>
    <w:p>
      <w:pPr>
        <w:spacing w:after="60"/>
        <w:ind w:firstLine="567"/>
        <w:jc w:val="both"/>
      </w:pPr>
      <w:r>
        <w:rPr>
          <w:rFonts w:ascii="Arial" w:cs="Arial" w:eastAsia="Arial" w:hAnsi="Arial"/>
          <w:sz w:val="24"/>
          <w:szCs w:val="24"/>
        </w:rPr>
        <w:t xml:space="preserve">Дополнительными движущими силами роста креативной экономики Кыргызстана являются научно-исследовательская деятельность и креативные пространства. Научно-исследовательская деятельность генерирует инновации и нововведения для креативных индустрий, а локальные кластеры и креативные пространства становятся центрами притяжения и развития креативного потенциала.</w:t>
      </w:r>
    </w:p>
    <w:p>
      <w:pPr>
        <w:spacing w:after="60"/>
        <w:ind w:firstLine="567"/>
        <w:jc w:val="both"/>
      </w:pPr>
      <w:r>
        <w:rPr>
          <w:rFonts w:ascii="Arial" w:cs="Arial" w:eastAsia="Arial" w:hAnsi="Arial"/>
          <w:sz w:val="24"/>
          <w:szCs w:val="24"/>
        </w:rPr>
        <w:t xml:space="preserve">В республике наблюдается тенденция концентрации креативных индустрий в крупных городах. Высокой активности креативного сектора в крупных городах способствуют наличие более развитой инфраструктуры, доступность информации, технологий и инноваций, степень цифровизации, более широкие возможности доступа к финансированию, потенциальные объемы рынков сбыта и спроса, сравнительно высокое качество уровня жизни и человеческого капитала. В регионах потенциал для развития креативных индустрий очень слабый, вследствие ограниченности возможностей и спроса.</w:t>
      </w:r>
    </w:p>
    <w:p>
      <w:pPr>
        <w:spacing w:after="60"/>
        <w:ind w:firstLine="567"/>
        <w:jc w:val="both"/>
      </w:pPr>
      <w:r>
        <w:rPr>
          <w:rFonts w:ascii="Arial" w:cs="Arial" w:eastAsia="Arial" w:hAnsi="Arial"/>
          <w:sz w:val="24"/>
          <w:szCs w:val="24"/>
        </w:rPr>
        <w:t xml:space="preserve">В коммерчески непривлекательных сферах креативных индустрий преобладает участие государственных организаций. Особенно наблюдается эта тенденция в регионах. Отдельные специализации, в международной практике относящиеся к традиционно креативным индустриям (архитектура, искусство, киноиндустрия, телевидение, радио, издание книг, газет и другие), вследствие нерентабельности и высокой зависимости от государственного заказа и финансирования представлены преимущественно государственными организациями, в деятельности которых крайне низок уровень креативности и инноваций.</w:t>
      </w:r>
    </w:p>
    <w:p>
      <w:pPr>
        <w:spacing w:after="60"/>
        <w:ind w:firstLine="567"/>
        <w:jc w:val="both"/>
      </w:pPr>
      <w:r>
        <w:rPr>
          <w:rFonts w:ascii="Arial" w:cs="Arial" w:eastAsia="Arial" w:hAnsi="Arial"/>
          <w:sz w:val="24"/>
          <w:szCs w:val="24"/>
        </w:rPr>
        <w:t xml:space="preserve">Сектор креативной экономики в стране находится на начальной стадии становления и недостатки, свойственные этой стадии, касаются и стейкхолдеров креативной экономики.</w:t>
      </w:r>
    </w:p>
    <w:p>
      <w:pPr>
        <w:spacing w:after="60"/>
        <w:ind w:firstLine="567"/>
        <w:jc w:val="both"/>
      </w:pPr>
      <w:r>
        <w:rPr>
          <w:rFonts w:ascii="Arial" w:cs="Arial" w:eastAsia="Arial" w:hAnsi="Arial"/>
          <w:sz w:val="24"/>
          <w:szCs w:val="24"/>
        </w:rPr>
        <w:t xml:space="preserve">К стейкхолдерам креативной экономики относятся бизнес структуры и их работники, осуществляющие деятельность в отрасли, уполномоченные государственные органы, регулирующие их деятельность, различные объединения креативных индустрий, а также другие отрасли экономики, заинтересованные в развитии сектора креативных индустрий, например, предприятия, заинтересованные в наличии профессиональных рекламных компаний.</w:t>
      </w:r>
    </w:p>
    <w:p>
      <w:pPr>
        <w:spacing w:after="60"/>
        <w:ind w:firstLine="567"/>
        <w:jc w:val="both"/>
      </w:pPr>
      <w:r>
        <w:rPr>
          <w:rFonts w:ascii="Arial" w:cs="Arial" w:eastAsia="Arial" w:hAnsi="Arial"/>
          <w:sz w:val="24"/>
          <w:szCs w:val="24"/>
        </w:rPr>
        <w:t xml:space="preserve">Анализ стратегических документов развития демонстрирует проявление интереса со стороны государства в развитии нового направления инновационной экономики - креативной экономики. До настоящего момента по объективным основаниям не сформировано видение и подходы к государственному регулированию и стимулированию сектора креативных индустрий Кыргызстана.</w:t>
      </w:r>
    </w:p>
    <w:p>
      <w:pPr>
        <w:spacing w:after="60"/>
        <w:ind w:firstLine="567"/>
        <w:jc w:val="both"/>
      </w:pPr>
      <w:r>
        <w:rPr>
          <w:rFonts w:ascii="Arial" w:cs="Arial" w:eastAsia="Arial" w:hAnsi="Arial"/>
          <w:sz w:val="24"/>
          <w:szCs w:val="24"/>
        </w:rPr>
        <w:t xml:space="preserve">Представители креативных индустрий, несмотря на большую заинтересованность в развитии отрасли, не активны в продвижении своих интересов и не оказывают влияния на государственную политику. В сфере креативных индустрий отсутствуют достаточно сильные и эффективные игроки. Попыткой отрасли оказать влияние на государственную политику и процессы развития стало создание Альянса креативных индустрий, степень воздействия которого пока невысок в сравнении с бизнес-объединениями и ассоциациями других отраслей.</w:t>
      </w:r>
    </w:p>
    <w:p>
      <w:pPr>
        <w:spacing w:after="60" w:before="200"/>
        <w:ind w:firstLine="567"/>
        <w:jc w:val="both"/>
      </w:pPr>
      <w:r>
        <w:rPr>
          <w:rFonts w:ascii="Arial" w:cs="Arial" w:eastAsia="Arial" w:hAnsi="Arial"/>
          <w:b/>
          <w:bCs/>
          <w:sz w:val="24"/>
          <w:szCs w:val="24"/>
        </w:rPr>
        <w:t xml:space="preserve">2.2. Основные барьеры развития</w:t>
      </w:r>
    </w:p>
    <w:p>
      <w:pPr>
        <w:spacing w:after="60"/>
        <w:ind w:firstLine="567"/>
        <w:jc w:val="both"/>
      </w:pPr>
      <w:r>
        <w:rPr>
          <w:rFonts w:ascii="Arial" w:cs="Arial" w:eastAsia="Arial" w:hAnsi="Arial"/>
          <w:sz w:val="24"/>
          <w:szCs w:val="24"/>
        </w:rPr>
        <w:t xml:space="preserve">Факторами, сдерживающими дальнейшее развитие креативных индустрий, являются специфичные барьеры отраслей: ограниченность потенциала предприятий, небольшой внутренний рынок, зависимость от экспорта, жесткие условия финансирования, неразвитость креативной инфраструктуры, недостаток или отсутствие кадров необходимой квалификации. Недостаток кадров ощущается в ключевых специализациях творческого предпринимательства: дизайнеров, архитекторов, арт-менеджеров, ИКТ-продюсеров, девелоперов креативных проектов и т.д.</w:t>
      </w:r>
    </w:p>
    <w:p>
      <w:pPr>
        <w:spacing w:after="60"/>
        <w:ind w:firstLine="567"/>
        <w:jc w:val="both"/>
      </w:pPr>
      <w:r>
        <w:rPr>
          <w:rFonts w:ascii="Arial" w:cs="Arial" w:eastAsia="Arial" w:hAnsi="Arial"/>
          <w:sz w:val="24"/>
          <w:szCs w:val="24"/>
        </w:rPr>
        <w:t xml:space="preserve">В республике не проводится специализированный статистический учет креативных индустрий, отсутствует возможность определения налоговых и иных поступлений от креативных индустрий, что не позволяет сделать полноценную оценку вклада в экономическое развитие как на региональном уровне, так и в целом по стране. Отсутствие системы учета и мониторинга развития креативных индустрий препятствует выработке специальных мер стимулирования этих индустрий.</w:t>
      </w:r>
    </w:p>
    <w:p>
      <w:pPr>
        <w:spacing w:after="60"/>
        <w:ind w:firstLine="567"/>
        <w:jc w:val="both"/>
      </w:pPr>
      <w:r>
        <w:rPr>
          <w:rFonts w:ascii="Arial" w:cs="Arial" w:eastAsia="Arial" w:hAnsi="Arial"/>
          <w:sz w:val="24"/>
          <w:szCs w:val="24"/>
        </w:rPr>
        <w:t xml:space="preserve">Опрос предпринимателей выявил, что другими наиболее существенными барьерами являются слабая защита интеллектуальной собственности (38%), нестабильность законодательства, регулирующего предпринимательскую деятельность в отрасли (38%), и высокое налогообложение (34%).</w:t>
      </w:r>
    </w:p>
    <w:p>
      <w:pPr>
        <w:spacing w:after="60"/>
        <w:ind w:firstLine="567"/>
        <w:jc w:val="both"/>
      </w:pPr>
      <w:r>
        <w:rPr>
          <w:rFonts w:ascii="Arial" w:cs="Arial" w:eastAsia="Arial" w:hAnsi="Arial"/>
          <w:sz w:val="24"/>
          <w:szCs w:val="24"/>
        </w:rPr>
        <w:t xml:space="preserve">Пребывание большой части креативных индустрий в тени лишает бизнес возможности использования официальных финансовых инструментов, получения государственных заказов, заключения контрактов с зарубежными партнерами и прочих возможностей развития, существующих у бизнеса, работающего в легальной зоне.</w:t>
      </w:r>
    </w:p>
    <w:p>
      <w:pPr>
        <w:spacing w:after="200" w:before="200"/>
        <w:jc w:val="center"/>
      </w:pPr>
      <w:r>
        <w:rPr>
          <w:rFonts w:ascii="Arial" w:cs="Arial" w:eastAsia="Arial" w:hAnsi="Arial"/>
          <w:b/>
          <w:bCs/>
          <w:sz w:val="24"/>
          <w:szCs w:val="24"/>
        </w:rPr>
        <w:t xml:space="preserve">III. Цель</w:t>
      </w:r>
    </w:p>
    <w:p>
      <w:pPr>
        <w:spacing w:after="60"/>
        <w:ind w:firstLine="567"/>
        <w:jc w:val="both"/>
      </w:pPr>
      <w:r>
        <w:rPr>
          <w:rFonts w:ascii="Arial" w:cs="Arial" w:eastAsia="Arial" w:hAnsi="Arial"/>
          <w:sz w:val="24"/>
          <w:szCs w:val="24"/>
        </w:rPr>
        <w:t xml:space="preserve">Целью Концепции является увеличение вклада креативных индустрий в экономику Кыргызской Республики посредством формирования комплексной государственной политики. Ввиду того, что креативные индустрии Кыргызской Республики находятся на ранней стадии своего становления, их дальнейшее успешное развитие во многом определяется усилиями государства по созданию благоприятных условий.</w:t>
      </w:r>
    </w:p>
    <w:p>
      <w:pPr>
        <w:spacing w:after="60"/>
        <w:ind w:firstLine="567"/>
        <w:jc w:val="both"/>
      </w:pPr>
      <w:r>
        <w:rPr>
          <w:rFonts w:ascii="Arial" w:cs="Arial" w:eastAsia="Arial" w:hAnsi="Arial"/>
          <w:sz w:val="24"/>
          <w:szCs w:val="24"/>
        </w:rPr>
        <w:t xml:space="preserve">Посредством монетизации инновационных идей и разработок, способных масштабироваться в промышленных объемах, сектор креативных индустрий в Кыргызстане станет акселератором предпринимательской деятельности с высокой добавочной стоимостью и высоким экономическим эффектом, рационализирует капиталовложения, расширит экспортные возможности и обеспечит прирост занятости. Креативная экономика в будущем станет толчком для стимулирования инноваций, увеличения инвестиционной привлекательности и снизит зависимость национальной экономики от сектора горнодобывающей промышленности и денежных переводов мигрантов, а также будет способствовать возрождению культурного наследия и самоидентификации государства в условиях глобализации.</w:t>
      </w:r>
    </w:p>
    <w:p>
      <w:pPr>
        <w:spacing w:after="200" w:before="200"/>
        <w:jc w:val="center"/>
      </w:pPr>
      <w:r>
        <w:rPr>
          <w:rFonts w:ascii="Arial" w:cs="Arial" w:eastAsia="Arial" w:hAnsi="Arial"/>
          <w:b/>
          <w:bCs/>
          <w:sz w:val="24"/>
          <w:szCs w:val="24"/>
        </w:rPr>
        <w:t xml:space="preserve">IV. Приоритеты</w:t>
      </w:r>
    </w:p>
    <w:p>
      <w:pPr>
        <w:spacing w:after="60"/>
        <w:ind w:firstLine="567"/>
        <w:jc w:val="both"/>
      </w:pPr>
      <w:r>
        <w:rPr>
          <w:rFonts w:ascii="Arial" w:cs="Arial" w:eastAsia="Arial" w:hAnsi="Arial"/>
          <w:sz w:val="24"/>
          <w:szCs w:val="24"/>
        </w:rPr>
        <w:t xml:space="preserve">Политика развития должна быть направлена на устранение сдерживающих факторов развития креативного сектора путем создания полноценной системы учета и мониторинга отрасли, выработки эффективных механизмов поддержки, укрепления потенциала и инфраструктуры креативных индустрий, увеличения экспорта и брендирования Кыргызстана на международных рынках как креативной страны.</w:t>
      </w:r>
    </w:p>
    <w:p>
      <w:pPr>
        <w:spacing w:after="60"/>
        <w:ind w:firstLine="567"/>
        <w:jc w:val="both"/>
      </w:pPr>
      <w:r>
        <w:rPr>
          <w:rFonts w:ascii="Arial" w:cs="Arial" w:eastAsia="Arial" w:hAnsi="Arial"/>
          <w:sz w:val="24"/>
          <w:szCs w:val="24"/>
        </w:rPr>
        <w:t xml:space="preserve">Первым приоритетным направлением должно стать обеспечение полноценного учета креативных индустрий в системе национальной статистики, что послужит базой для формирования и проведения государственной политики развития креативных индустрий.</w:t>
      </w:r>
    </w:p>
    <w:p>
      <w:pPr>
        <w:spacing w:after="60"/>
        <w:ind w:firstLine="567"/>
        <w:jc w:val="both"/>
      </w:pPr>
      <w:r>
        <w:rPr>
          <w:rFonts w:ascii="Arial" w:cs="Arial" w:eastAsia="Arial" w:hAnsi="Arial"/>
          <w:sz w:val="24"/>
          <w:szCs w:val="24"/>
        </w:rPr>
        <w:t xml:space="preserve">Другим приоритетным направлением является создание условий для развития различных платформ и другой инфраструктуры, способствующей динамичному росту экосистемы креативной экономики. Развитие таких платформ необходимо для построения диалога между различными заинтересованными сторонами, включая частный сектор, государственные органы, а также иностранных инвесторов. Существующим объединениям креативных индустрий необходимо повышать потенциал посредством организационного и профессионального развития предприятий креативной экономики.</w:t>
      </w:r>
    </w:p>
    <w:p>
      <w:pPr>
        <w:spacing w:after="60"/>
        <w:ind w:firstLine="567"/>
        <w:jc w:val="both"/>
      </w:pPr>
      <w:r>
        <w:rPr>
          <w:rFonts w:ascii="Arial" w:cs="Arial" w:eastAsia="Arial" w:hAnsi="Arial"/>
          <w:sz w:val="24"/>
          <w:szCs w:val="24"/>
        </w:rPr>
        <w:t xml:space="preserve">Третий приоритет - это стимулирование развития инноваций и драйверов роста. Для повышения конкурентоспособности национальной экономики Кыргызской Республики необходимо акцентировать внимание на развитии креативных индустрий, способных существенно улучшить показатели экономического развития (вклад в ВВП, увеличение экспорта, рост налоговых поступлений в бюджет, увеличение инвестиционных вложений, прирост числа субъектов предпринимательской деятельности), а также способствовать значительному росту занятости, в т.ч. для социально уязвимых слоев населения и придать большой импульс развитию смежных секторов экономики.</w:t>
      </w:r>
    </w:p>
    <w:p>
      <w:pPr>
        <w:spacing w:after="200" w:before="200"/>
        <w:jc w:val="center"/>
      </w:pPr>
      <w:r>
        <w:rPr>
          <w:rFonts w:ascii="Arial" w:cs="Arial" w:eastAsia="Arial" w:hAnsi="Arial"/>
          <w:b/>
          <w:bCs/>
          <w:sz w:val="24"/>
          <w:szCs w:val="24"/>
        </w:rPr>
        <w:t xml:space="preserve">V. Задачи и направления деятельности</w:t>
      </w:r>
    </w:p>
    <w:p>
      <w:pPr>
        <w:spacing w:after="60"/>
        <w:ind w:firstLine="567"/>
        <w:jc w:val="both"/>
      </w:pPr>
      <w:r>
        <w:rPr>
          <w:rFonts w:ascii="Arial" w:cs="Arial" w:eastAsia="Arial" w:hAnsi="Arial"/>
          <w:sz w:val="24"/>
          <w:szCs w:val="24"/>
        </w:rPr>
        <w:t xml:space="preserve">Развитие сектора креативной экономики требует решения следующих задач:</w:t>
      </w:r>
    </w:p>
    <w:p>
      <w:pPr>
        <w:spacing w:after="60"/>
        <w:ind w:firstLine="567"/>
        <w:jc w:val="both"/>
      </w:pPr>
      <w:r>
        <w:rPr>
          <w:rFonts w:ascii="Arial" w:cs="Arial" w:eastAsia="Arial" w:hAnsi="Arial"/>
          <w:sz w:val="24"/>
          <w:szCs w:val="24"/>
        </w:rPr>
        <w:t xml:space="preserve">Задача 1. Создание системы учета и мониторинга, механизмов поддержки развития креативных индустрий.</w:t>
      </w:r>
    </w:p>
    <w:p>
      <w:pPr>
        <w:spacing w:after="60"/>
        <w:ind w:firstLine="567"/>
        <w:jc w:val="both"/>
      </w:pPr>
      <w:r>
        <w:rPr>
          <w:rFonts w:ascii="Arial" w:cs="Arial" w:eastAsia="Arial" w:hAnsi="Arial"/>
          <w:sz w:val="24"/>
          <w:szCs w:val="24"/>
        </w:rPr>
        <w:t xml:space="preserve">Задача 2. Укрепление потенциала креативных индустрий.</w:t>
      </w:r>
    </w:p>
    <w:p>
      <w:pPr>
        <w:spacing w:after="60"/>
        <w:ind w:firstLine="567"/>
        <w:jc w:val="both"/>
      </w:pPr>
      <w:r>
        <w:rPr>
          <w:rFonts w:ascii="Arial" w:cs="Arial" w:eastAsia="Arial" w:hAnsi="Arial"/>
          <w:sz w:val="24"/>
          <w:szCs w:val="24"/>
        </w:rPr>
        <w:t xml:space="preserve">Задача 3. Расширение инновационных креативных пространств и экспорта.</w:t>
      </w:r>
    </w:p>
    <w:p>
      <w:pPr>
        <w:spacing w:after="60"/>
        <w:ind w:firstLine="567"/>
        <w:jc w:val="both"/>
      </w:pPr>
      <w:r>
        <w:rPr>
          <w:rFonts w:ascii="Arial" w:cs="Arial" w:eastAsia="Arial" w:hAnsi="Arial"/>
          <w:sz w:val="24"/>
          <w:szCs w:val="24"/>
        </w:rPr>
        <w:t xml:space="preserve">Задача 4. Создание и продвижение брэнда "Креативный Кыргызстан".</w:t>
      </w:r>
    </w:p>
    <w:p>
      <w:pPr>
        <w:spacing w:after="60"/>
        <w:ind w:firstLine="567"/>
        <w:jc w:val="both"/>
      </w:pPr>
      <w:r>
        <w:rPr>
          <w:rFonts w:ascii="Arial" w:cs="Arial" w:eastAsia="Arial" w:hAnsi="Arial"/>
          <w:sz w:val="24"/>
          <w:szCs w:val="24"/>
        </w:rPr>
        <w:t xml:space="preserve">Задача 5. Стимулирование инноваций.</w:t>
      </w:r>
    </w:p>
    <w:p>
      <w:pPr>
        <w:spacing w:after="120" w:before="200"/>
        <w:ind w:firstLine="567"/>
        <w:jc w:val="both"/>
      </w:pPr>
      <w:r>
        <w:rPr>
          <w:rFonts w:ascii="Arial" w:cs="Arial" w:eastAsia="Arial" w:hAnsi="Arial"/>
          <w:b/>
          <w:bCs/>
          <w:sz w:val="24"/>
          <w:szCs w:val="24"/>
        </w:rPr>
        <w:t xml:space="preserve">Потенциальные действия по развитию креативной экономики в Кыргызской Республике</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5.1. Создание системы учета и мониторинга, механизмов поддержки развития креативных индустрий</w:t>
      </w:r>
    </w:p>
    <w:p>
      <w:pPr>
        <w:spacing w:after="60"/>
        <w:ind w:firstLine="567"/>
        <w:jc w:val="both"/>
      </w:pPr>
      <w:r>
        <w:rPr>
          <w:rFonts w:ascii="Arial" w:cs="Arial" w:eastAsia="Arial" w:hAnsi="Arial"/>
          <w:sz w:val="24"/>
          <w:szCs w:val="24"/>
        </w:rPr>
        <w:t xml:space="preserve">В рамках данного направления предполагается реализация работ по: разработке и внедрению критериев определения креативной экономики; формированию перечня показателей оценки развития отрасли; выделению направлений креативных индустрий в Государственном классификаторе по видам экономической деятельности (ГКЭД); созданию системы сбора и учета статистической информации по креативным индустриям; расширению перечня наименований видов индивидуальной предпринимательской деятельности, осуществляемой на патентной основе; проведению мероприятий по информационному освещению и популяризации креативной экономики и ряда других практических действий, включая запуск проектов государственно-частного партнерства.</w:t>
      </w:r>
    </w:p>
    <w:p>
      <w:pPr>
        <w:spacing w:after="60" w:before="200"/>
        <w:ind w:firstLine="567"/>
        <w:jc w:val="both"/>
      </w:pPr>
      <w:r>
        <w:rPr>
          <w:rFonts w:ascii="Arial" w:cs="Arial" w:eastAsia="Arial" w:hAnsi="Arial"/>
          <w:b/>
          <w:bCs/>
          <w:sz w:val="24"/>
          <w:szCs w:val="24"/>
        </w:rPr>
        <w:t xml:space="preserve">5.2. Укрепление потенциала креативных индустрий</w:t>
      </w:r>
    </w:p>
    <w:p>
      <w:pPr>
        <w:spacing w:after="60"/>
        <w:ind w:firstLine="567"/>
        <w:jc w:val="both"/>
      </w:pPr>
      <w:r>
        <w:rPr>
          <w:rFonts w:ascii="Arial" w:cs="Arial" w:eastAsia="Arial" w:hAnsi="Arial"/>
          <w:sz w:val="24"/>
          <w:szCs w:val="24"/>
        </w:rPr>
        <w:t xml:space="preserve">Одним из ключевых барьеров развития креативного сектора является нехватка и низкий уровень компетенций и навыков специалистов в сфере креативных индустрий. Основные направления мер поддержки в повышении потенциала креативных индустрий будут нацелены на определение востребованных креативными индустриями профилей специальностей с последующей разработкой образовательных программ для различных уровней профессиональной подготовки специалистов.</w:t>
      </w:r>
    </w:p>
    <w:p>
      <w:pPr>
        <w:spacing w:after="60"/>
        <w:ind w:firstLine="567"/>
        <w:jc w:val="both"/>
      </w:pPr>
      <w:r>
        <w:rPr>
          <w:rFonts w:ascii="Arial" w:cs="Arial" w:eastAsia="Arial" w:hAnsi="Arial"/>
          <w:sz w:val="24"/>
          <w:szCs w:val="24"/>
        </w:rPr>
        <w:t xml:space="preserve">В перспективе реализация задачи будет способствовать снижению дефицита в кадровом обеспечении.</w:t>
      </w:r>
    </w:p>
    <w:p>
      <w:pPr>
        <w:spacing w:after="60" w:before="200"/>
        <w:ind w:firstLine="567"/>
        <w:jc w:val="both"/>
      </w:pPr>
      <w:r>
        <w:rPr>
          <w:rFonts w:ascii="Arial" w:cs="Arial" w:eastAsia="Arial" w:hAnsi="Arial"/>
          <w:b/>
          <w:bCs/>
          <w:sz w:val="24"/>
          <w:szCs w:val="24"/>
        </w:rPr>
        <w:t xml:space="preserve">5.3. Расширение инновационных креативных пространств и экспорта</w:t>
      </w:r>
    </w:p>
    <w:p>
      <w:pPr>
        <w:spacing w:after="60"/>
        <w:ind w:firstLine="567"/>
        <w:jc w:val="both"/>
      </w:pPr>
      <w:r>
        <w:rPr>
          <w:rFonts w:ascii="Arial" w:cs="Arial" w:eastAsia="Arial" w:hAnsi="Arial"/>
          <w:sz w:val="24"/>
          <w:szCs w:val="24"/>
        </w:rPr>
        <w:t xml:space="preserve">Неразвитая инфраструктура креативного сектора в недостаточной мере стимулирует развитие инновационных направлений индустрий. В рамках данной задачи планируются работы по укреплению инфраструктуры путем расширения инновационных пространств с целью создания устойчивой площадки - хаба развития креативных индустрий с платформами инновационных стартап-проектов, цифровизации бизнес-процессов креативных индустрий и других практических мер по развитию бизнеса.</w:t>
      </w:r>
    </w:p>
    <w:p>
      <w:pPr>
        <w:spacing w:after="60"/>
        <w:ind w:firstLine="567"/>
        <w:jc w:val="both"/>
      </w:pPr>
      <w:r>
        <w:rPr>
          <w:rFonts w:ascii="Arial" w:cs="Arial" w:eastAsia="Arial" w:hAnsi="Arial"/>
          <w:sz w:val="24"/>
          <w:szCs w:val="24"/>
        </w:rPr>
        <w:t xml:space="preserve">Рост креативных индустрий Кыргызстана также ограничен размерами внутреннего рынка сбыта. В условиях ограниченности рынка приоритетной задачей является ориентация креативных индустрий на международные рынки и создание соответствующих условий для их выхода. Проведение специализированных выставочных мероприятий за рубежом рассматривается в качестве эффективного механизма по расширению экспортных возможностей сектора.</w:t>
      </w:r>
    </w:p>
    <w:p>
      <w:pPr>
        <w:spacing w:after="60" w:before="200"/>
        <w:ind w:firstLine="567"/>
        <w:jc w:val="both"/>
      </w:pPr>
      <w:r>
        <w:rPr>
          <w:rFonts w:ascii="Arial" w:cs="Arial" w:eastAsia="Arial" w:hAnsi="Arial"/>
          <w:b/>
          <w:bCs/>
          <w:sz w:val="24"/>
          <w:szCs w:val="24"/>
        </w:rPr>
        <w:t xml:space="preserve">5.4. Создание и продвижение бренда "Креативный Кыргызстан"</w:t>
      </w:r>
    </w:p>
    <w:p>
      <w:pPr>
        <w:spacing w:after="60"/>
        <w:ind w:firstLine="567"/>
        <w:jc w:val="both"/>
      </w:pPr>
      <w:r>
        <w:rPr>
          <w:rFonts w:ascii="Arial" w:cs="Arial" w:eastAsia="Arial" w:hAnsi="Arial"/>
          <w:sz w:val="24"/>
          <w:szCs w:val="24"/>
        </w:rPr>
        <w:t xml:space="preserve">Развитие креативной экономики зависит не только от создания благоприятных условий ведения бизнеса и инфраструктуры, транспарентности принятия решений и наличия гарантий, но и во многом обусловлено наличием положительного имиджа страны в мире.</w:t>
      </w:r>
    </w:p>
    <w:p>
      <w:pPr>
        <w:spacing w:after="60"/>
        <w:ind w:firstLine="567"/>
        <w:jc w:val="both"/>
      </w:pPr>
      <w:r>
        <w:rPr>
          <w:rFonts w:ascii="Arial" w:cs="Arial" w:eastAsia="Arial" w:hAnsi="Arial"/>
          <w:sz w:val="24"/>
          <w:szCs w:val="24"/>
        </w:rPr>
        <w:t xml:space="preserve">Разработка и продвижение во внешнем мире бренда "Креативный Кыргызстан" будет способствовать росту экспорта и в целом модернизации развития сектора креативной экономики республики.</w:t>
      </w:r>
    </w:p>
    <w:p>
      <w:pPr>
        <w:spacing w:after="60" w:before="200"/>
        <w:ind w:firstLine="567"/>
        <w:jc w:val="both"/>
      </w:pPr>
      <w:r>
        <w:rPr>
          <w:rFonts w:ascii="Arial" w:cs="Arial" w:eastAsia="Arial" w:hAnsi="Arial"/>
          <w:b/>
          <w:bCs/>
          <w:sz w:val="24"/>
          <w:szCs w:val="24"/>
        </w:rPr>
        <w:t xml:space="preserve">5.5. Стимулирование инноваций</w:t>
      </w:r>
    </w:p>
    <w:p>
      <w:pPr>
        <w:spacing w:after="60"/>
        <w:ind w:firstLine="567"/>
        <w:jc w:val="both"/>
      </w:pPr>
      <w:r>
        <w:rPr>
          <w:rFonts w:ascii="Arial" w:cs="Arial" w:eastAsia="Arial" w:hAnsi="Arial"/>
          <w:sz w:val="24"/>
          <w:szCs w:val="24"/>
        </w:rPr>
        <w:t xml:space="preserve">Развитая инновационная и стартап-экосистема повышает эффективность бизнеса. Деятельность по формированию инновационной экосистемы направлена на определение драйверов развития и укрепление инновационной инфраструктуры для создания благоприятных условий развития существующих и образования новых креативных индустрий. Развитие сектора креативных индустрий как полноценной экосистемы зависит от трех ключевых условий: сильные креативные индустрии, четкая государственная политика и эффективный диалог между государством и креативным сектором.</w:t>
      </w:r>
    </w:p>
    <w:p>
      <w:pPr>
        <w:spacing w:after="60"/>
        <w:ind w:firstLine="567"/>
        <w:jc w:val="both"/>
      </w:pPr>
      <w:r>
        <w:rPr>
          <w:rFonts w:ascii="Arial" w:cs="Arial" w:eastAsia="Arial" w:hAnsi="Arial"/>
          <w:sz w:val="24"/>
          <w:szCs w:val="24"/>
        </w:rPr>
        <w:t xml:space="preserve">Задача по стимулированию инновационной деятельности в Кыргызстане предусматривает создание благоприятной правовой среды и инновационной системы в форме масштабного национального проекта.</w:t>
      </w:r>
    </w:p>
    <w:p>
      <w:pPr>
        <w:spacing w:after="60"/>
        <w:ind w:firstLine="567"/>
        <w:jc w:val="both"/>
      </w:pPr>
      <w:r>
        <w:rPr>
          <w:rFonts w:ascii="Arial" w:cs="Arial" w:eastAsia="Arial" w:hAnsi="Arial"/>
          <w:sz w:val="24"/>
          <w:szCs w:val="24"/>
        </w:rPr>
        <w:t xml:space="preserve">В перспективе успешная реализация мер придаст импульс развитию инновационного направления предпринимательства за счет повышения конкурентоспособности, роста экспорта и технологизации креативных индустрий.</w:t>
      </w:r>
    </w:p>
    <w:p>
      <w:pPr>
        <w:spacing w:after="200" w:before="200"/>
        <w:jc w:val="center"/>
      </w:pPr>
      <w:r>
        <w:rPr>
          <w:rFonts w:ascii="Arial" w:cs="Arial" w:eastAsia="Arial" w:hAnsi="Arial"/>
          <w:b/>
          <w:bCs/>
          <w:sz w:val="24"/>
          <w:szCs w:val="24"/>
        </w:rPr>
        <w:t xml:space="preserve">VI. Ожидаемые результаты</w:t>
      </w:r>
    </w:p>
    <w:p>
      <w:pPr>
        <w:spacing w:after="60"/>
        <w:ind w:firstLine="567"/>
        <w:jc w:val="both"/>
      </w:pPr>
      <w:r>
        <w:rPr>
          <w:rFonts w:ascii="Arial" w:cs="Arial" w:eastAsia="Arial" w:hAnsi="Arial"/>
          <w:sz w:val="24"/>
          <w:szCs w:val="24"/>
        </w:rPr>
        <w:t xml:space="preserve">Креативный сектор может обеспечить производство национального продукта с высокой добавочной стоимостью, значительным экспортным потенциалом, способствовать созданию мультипликативного эффекта и стать драйвером роста других отраслей. В перспективе креативная экономика станет динамично развивающимся сектором и будет способствовать повышению конкурентоспособности национальной экономики Кыргызской Республики в мире.</w:t>
      </w:r>
    </w:p>
    <w:p>
      <w:pPr>
        <w:spacing w:after="60"/>
        <w:ind w:firstLine="567"/>
        <w:jc w:val="both"/>
      </w:pPr>
      <w:r>
        <w:rPr>
          <w:rFonts w:ascii="Arial" w:cs="Arial" w:eastAsia="Arial" w:hAnsi="Arial"/>
          <w:sz w:val="24"/>
          <w:szCs w:val="24"/>
        </w:rPr>
        <w:t xml:space="preserve">Развитие креативного сектора послужит толчком для роста реального сектора за счет развития инноваций и будет способствовать увеличению занятости и повышению инвестиционной привлекательности страны, а также снизит зависимость от ресурсной экономики.</w:t>
      </w:r>
    </w:p>
    <w:p>
      <w:pPr>
        <w:spacing w:after="60"/>
        <w:ind w:firstLine="567"/>
        <w:jc w:val="both"/>
      </w:pPr>
      <w:r>
        <w:rPr>
          <w:rFonts w:ascii="Arial" w:cs="Arial" w:eastAsia="Arial" w:hAnsi="Arial"/>
          <w:sz w:val="24"/>
          <w:szCs w:val="24"/>
        </w:rPr>
        <w:t xml:space="preserve">Действия по развитию креативной экономики в рамках настоящей Концепции позволят:</w:t>
      </w:r>
    </w:p>
    <w:p>
      <w:pPr>
        <w:spacing w:after="60"/>
        <w:ind w:firstLine="567"/>
        <w:jc w:val="both"/>
      </w:pPr>
      <w:r>
        <w:rPr>
          <w:rFonts w:ascii="Arial" w:cs="Arial" w:eastAsia="Arial" w:hAnsi="Arial"/>
          <w:sz w:val="24"/>
          <w:szCs w:val="24"/>
        </w:rPr>
        <w:t xml:space="preserve">- сформировать государственную политику развития креативной экономики с эффективными механизмами поддержки;</w:t>
      </w:r>
    </w:p>
    <w:p>
      <w:pPr>
        <w:spacing w:after="60"/>
        <w:ind w:firstLine="567"/>
        <w:jc w:val="both"/>
      </w:pPr>
      <w:r>
        <w:rPr>
          <w:rFonts w:ascii="Arial" w:cs="Arial" w:eastAsia="Arial" w:hAnsi="Arial"/>
          <w:sz w:val="24"/>
          <w:szCs w:val="24"/>
        </w:rPr>
        <w:t xml:space="preserve">- повысить конкурентоспособность отечественных креативных индустрий;</w:t>
      </w:r>
    </w:p>
    <w:p>
      <w:pPr>
        <w:spacing w:after="60"/>
        <w:ind w:firstLine="567"/>
        <w:jc w:val="both"/>
      </w:pPr>
      <w:r>
        <w:rPr>
          <w:rFonts w:ascii="Arial" w:cs="Arial" w:eastAsia="Arial" w:hAnsi="Arial"/>
          <w:sz w:val="24"/>
          <w:szCs w:val="24"/>
        </w:rPr>
        <w:t xml:space="preserve">- укрепить инфраструктуру креативной деятельности и расширить возможности роста экспорта;</w:t>
      </w:r>
    </w:p>
    <w:p>
      <w:pPr>
        <w:spacing w:after="60"/>
        <w:ind w:firstLine="567"/>
        <w:jc w:val="both"/>
      </w:pPr>
      <w:r>
        <w:rPr>
          <w:rFonts w:ascii="Arial" w:cs="Arial" w:eastAsia="Arial" w:hAnsi="Arial"/>
          <w:sz w:val="24"/>
          <w:szCs w:val="24"/>
        </w:rPr>
        <w:t xml:space="preserve">- сформировать положительный имидж и повысить инвестиционную привлекательность страны в мире.</w:t>
      </w:r>
    </w:p>
    <w:p>
      <w:pPr>
        <w:spacing w:after="200" w:before="200"/>
        <w:jc w:val="center"/>
      </w:pPr>
      <w:r>
        <w:rPr>
          <w:rFonts w:ascii="Arial" w:cs="Arial" w:eastAsia="Arial" w:hAnsi="Arial"/>
          <w:b/>
          <w:bCs/>
          <w:sz w:val="24"/>
          <w:szCs w:val="24"/>
        </w:rPr>
        <w:t xml:space="preserve">VII. Благоприятные предпосылки и риски</w:t>
      </w:r>
    </w:p>
    <w:p>
      <w:pPr>
        <w:spacing w:after="60" w:before="200"/>
        <w:ind w:firstLine="567"/>
        <w:jc w:val="both"/>
      </w:pPr>
      <w:r>
        <w:rPr>
          <w:rFonts w:ascii="Arial" w:cs="Arial" w:eastAsia="Arial" w:hAnsi="Arial"/>
          <w:b/>
          <w:bCs/>
          <w:sz w:val="24"/>
          <w:szCs w:val="24"/>
        </w:rPr>
        <w:t xml:space="preserve">7.1. Благоприятные предпосылки</w:t>
      </w:r>
    </w:p>
    <w:p>
      <w:pPr>
        <w:spacing w:after="60"/>
        <w:ind w:firstLine="567"/>
        <w:jc w:val="both"/>
      </w:pPr>
      <w:r>
        <w:rPr>
          <w:rFonts w:ascii="Arial" w:cs="Arial" w:eastAsia="Arial" w:hAnsi="Arial"/>
          <w:sz w:val="24"/>
          <w:szCs w:val="24"/>
        </w:rPr>
        <w:t xml:space="preserve">Благоприятными предпосылками для успешной реализации Концепции является высокая степень политических и экономических свобод, высокий уровень образованности населения, квалификация и доступность рабочей силы, динамичное развитие сектора ИКТ, последовательная цифровизация всех секторов экономики и сфер государственного управления, готовность и стремление представителей креативных индустрий к повышению роли внутри государства и выходу на международные рынки, рост туризма, а также заинтересованность международных партнеров.</w:t>
      </w:r>
    </w:p>
    <w:p>
      <w:pPr>
        <w:spacing w:after="60" w:before="200"/>
        <w:ind w:firstLine="567"/>
        <w:jc w:val="both"/>
      </w:pPr>
      <w:r>
        <w:rPr>
          <w:rFonts w:ascii="Arial" w:cs="Arial" w:eastAsia="Arial" w:hAnsi="Arial"/>
          <w:b/>
          <w:bCs/>
          <w:sz w:val="24"/>
          <w:szCs w:val="24"/>
        </w:rPr>
        <w:t xml:space="preserve">7.2. Риски</w:t>
      </w:r>
    </w:p>
    <w:p>
      <w:pPr>
        <w:spacing w:after="60"/>
        <w:ind w:firstLine="567"/>
        <w:jc w:val="both"/>
      </w:pPr>
      <w:r>
        <w:rPr>
          <w:rFonts w:ascii="Arial" w:cs="Arial" w:eastAsia="Arial" w:hAnsi="Arial"/>
          <w:sz w:val="24"/>
          <w:szCs w:val="24"/>
        </w:rPr>
        <w:t xml:space="preserve">Возможными рисками и угрозами обеспечения успешной реализации Концепции являются:</w:t>
      </w:r>
    </w:p>
    <w:p>
      <w:pPr>
        <w:spacing w:after="60"/>
        <w:ind w:firstLine="567"/>
        <w:jc w:val="both"/>
      </w:pPr>
      <w:r>
        <w:rPr>
          <w:rFonts w:ascii="Arial" w:cs="Arial" w:eastAsia="Arial" w:hAnsi="Arial"/>
          <w:sz w:val="24"/>
          <w:szCs w:val="24"/>
        </w:rPr>
        <w:t xml:space="preserve">- возможная нестабильность ситуации, обусловленная предстоящими изменениями политической системы и конфигурации институтов управления страны;</w:t>
      </w:r>
    </w:p>
    <w:p>
      <w:pPr>
        <w:spacing w:after="60"/>
        <w:ind w:firstLine="567"/>
        <w:jc w:val="both"/>
      </w:pPr>
      <w:r>
        <w:rPr>
          <w:rFonts w:ascii="Arial" w:cs="Arial" w:eastAsia="Arial" w:hAnsi="Arial"/>
          <w:sz w:val="24"/>
          <w:szCs w:val="24"/>
        </w:rPr>
        <w:t xml:space="preserve">- последствия экономического кризиса, вызванного пандемией Covid-19;</w:t>
      </w:r>
    </w:p>
    <w:p>
      <w:pPr>
        <w:spacing w:after="60"/>
        <w:ind w:firstLine="567"/>
        <w:jc w:val="both"/>
      </w:pPr>
      <w:r>
        <w:rPr>
          <w:rFonts w:ascii="Arial" w:cs="Arial" w:eastAsia="Arial" w:hAnsi="Arial"/>
          <w:sz w:val="24"/>
          <w:szCs w:val="24"/>
        </w:rPr>
        <w:t xml:space="preserve">- ограниченные возможности финансирования реализации Концепции из государственного бюджета и недостаточности поддержки со стороны международных организаций или частных инвесторов;</w:t>
      </w:r>
    </w:p>
    <w:p>
      <w:pPr>
        <w:spacing w:after="60"/>
        <w:ind w:firstLine="567"/>
        <w:jc w:val="both"/>
      </w:pPr>
      <w:r>
        <w:rPr>
          <w:rFonts w:ascii="Arial" w:cs="Arial" w:eastAsia="Arial" w:hAnsi="Arial"/>
          <w:sz w:val="24"/>
          <w:szCs w:val="24"/>
        </w:rPr>
        <w:t xml:space="preserve">- долгосрочность принятий изменений в сфере законодательства, институциональных и регуляторных мер для достижения целей Концепции;</w:t>
      </w:r>
    </w:p>
    <w:p>
      <w:pPr>
        <w:spacing w:after="60"/>
        <w:ind w:firstLine="567"/>
        <w:jc w:val="both"/>
      </w:pPr>
      <w:r>
        <w:rPr>
          <w:rFonts w:ascii="Arial" w:cs="Arial" w:eastAsia="Arial" w:hAnsi="Arial"/>
          <w:sz w:val="24"/>
          <w:szCs w:val="24"/>
        </w:rPr>
        <w:t xml:space="preserve">- отсутствие должной координации и согласованности действий по реализации Концепции между ответственными сторонами.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НСК КР, http://www.stat.kg/ru/opendata/ca</w:t>
      </w:r>
      <w:r>
        <w:rPr>
          <w:rFonts w:ascii="Arial" w:cs="Arial" w:eastAsia="Arial" w:hAnsi="Arial"/>
          <w:sz w:val="24"/>
          <w:szCs w:val="24"/>
        </w:rPr>
        <w:t xml:space="preserve">t</w:t>
      </w:r>
      <w:r>
        <w:rPr>
          <w:rFonts w:ascii="Arial" w:cs="Arial" w:eastAsia="Arial" w:hAnsi="Arial"/>
          <w:sz w:val="24"/>
          <w:szCs w:val="24"/>
        </w:rPr>
        <w:t xml:space="preserve">egor</w:t>
      </w:r>
      <w:r>
        <w:rPr>
          <w:rFonts w:ascii="Arial" w:cs="Arial" w:eastAsia="Arial" w:hAnsi="Arial"/>
          <w:sz w:val="24"/>
          <w:szCs w:val="24"/>
        </w:rPr>
        <w:t xml:space="preserve">y</w:t>
      </w:r>
      <w:r>
        <w:rPr>
          <w:rFonts w:ascii="Arial" w:cs="Arial" w:eastAsia="Arial" w:hAnsi="Arial"/>
          <w:sz w:val="24"/>
          <w:szCs w:val="24"/>
        </w:rPr>
        <w:t xml:space="preserve">/188/.</w:t>
      </w:r>
    </w:p>
    <w:p>
      <w:pPr>
        <w:spacing w:after="120" w:before="200"/>
        <w:ind w:firstLine="567"/>
        <w:jc w:val="both"/>
      </w:pPr>
      <w:r>
        <w:rPr>
          <w:rFonts w:ascii="Arial" w:cs="Arial" w:eastAsia="Arial" w:hAnsi="Arial"/>
          <w:b/>
          <w:bCs/>
          <w:sz w:val="24"/>
          <w:szCs w:val="24"/>
        </w:rPr>
        <w:t xml:space="preserve">Сокращения и терминология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8203"/>
      </w:tblGrid>
      <w:tr>
        <w:tc>
          <w:tcPr>
            <w:tcW w:type="dxa" w:w="19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8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НСК</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МСБ</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Малый и средний бизнес</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КЭ</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Креативная экономика</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КИ</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Креативные индустрии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Валовый внутренний продукт</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ПИИ</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ИКТ</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w:t>
            </w:r>
            <w:r>
              <w:rPr>
                <w:rFonts w:ascii="Arial" w:cs="Arial" w:eastAsia="Arial" w:hAnsi="Arial"/>
                <w:sz w:val="24"/>
                <w:szCs w:val="24"/>
              </w:rPr>
              <w:t xml:space="preserve">-</w:t>
            </w:r>
            <w:r>
              <w:rPr>
                <w:rFonts w:ascii="Arial" w:cs="Arial" w:eastAsia="Arial" w:hAnsi="Arial"/>
                <w:sz w:val="24"/>
                <w:szCs w:val="24"/>
              </w:rPr>
              <w:t xml:space="preserve">коммуникационные технологии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ГКЭД</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по видам экономической деятельности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СМИ</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массовой информации</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7"/>
        <w:gridCol w:w="7161"/>
      </w:tblGrid>
      <w:tr>
        <w:tc>
          <w:tcPr>
            <w:tcW w:type="dxa" w:w="30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ТЕРМИН</w:t>
            </w:r>
          </w:p>
        </w:tc>
        <w:tc>
          <w:tcPr>
            <w:tcW w:type="dxa" w:w="7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ИНДУСТРИАЛЬНАЯ ЭКОНОМИКА</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Экономика, сформировавшаяся в процессе и в результате индустриализации, развития машинного производства, возникновения адекватных ему форм организации труда, применения достижений научно-технологического прогресса</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ИННОВАЦИЯ</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Нововведение - внедренное или внедряемое новшество, обеспечивающее повышение эффективности процессов и улучшение качества продукции, востребованное рынком</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КРЕАТИВНОСТЬ</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Способность человека принимать творческие решения, принимать и создавать принципиально новые идеи</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КРЕАТИВНАЯ ИНДУСТРИЯ</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субъектов предпринимательства, осуществляющих инновационную экономическую деятельность, основанную на создании продуктов с использованием интеллектуальной собственности, контент-культуры, инновационных и информационно-коммуникационных технологий через творческое генерирование</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КРЕАТИВНЫЙ КЛАСС</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Творческий класс, участники основанной на знании высокотехнологичной экономики, требующей наличия творческого мышления и способности к нешаблонному подходу в решении задач</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КРЕАТИВНАЯ ЭКОНОМИКА</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креативных индустрий, создающих добавочную стоимость и рабочие места за счет трансформации идей и возможностей человеческого капитала, науки, инноваций, технологий, культуры и творческого подхода</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ПОСТИНДУСТРИАЛЬНАЯ ЭКОНОМИКА</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Преобладание в экономике инновационного сектора с высокопроизводительной промышленностью, индустрией знаний, с высокой долей в ВВП высококачественных и инновационных услуг, с конкуренцией во всех видах экономическом и иной деятельности, а также более высокой долей населения, занятого в сфере услуг, нежели в промышленном производстве</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РЕЗИДЕНТ</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Определенный статус юридического или физического лица в налоговом законодательстве, а также в некоторых других отраслях законодательства, выражающий связь этого лица с тем или иным государством</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ЭКОНОМИКА ЗНАНИЙ</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Экономика, базирующаяся на производстве товаров и услуг на наукоемкой деятельности, способствующая ускорению темпов технического и научного процесса. Экономика знаний предполагает интенсивное развитие цифровизации и инноваций</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hrqjy57l_wns3iyteli">
      <w:r>
        <w:rPr>
          <w:rFonts w:ascii="Arial" w:cs="Arial" w:eastAsia="Arial" w:hAnsi="Arial"/>
          <w:color w:val="132D3F"/>
          <w:sz w:val="16"/>
          <w:szCs w:val="16"/>
          <w:u w:val="single"/>
        </w:rPr>
        <w:t xml:space="preserve">dalil.kg/document/159214</w:t>
      </w:r>
    </w:hyperlink>
  </w:p>
  <w:p>
    <w:pPr>
      <w:spacing w:after="0" w:before="40"/>
      <w:jc w:val="center"/>
    </w:pPr>
    <w:hyperlink w:history="1" r:id="rIdzf9zo04gk7j8spdufoos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jhof3ivxj1wr16ycql5" Type="http://schemas.openxmlformats.org/officeDocument/2006/relationships/hyperlink" Target="https://dalil.kg/document/159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hrqjy57l_wns3iyteli" Type="http://schemas.openxmlformats.org/officeDocument/2006/relationships/hyperlink" Target="https://dalil.kg/document/159214" TargetMode="External"/><Relationship Id="rIdzf9zo04gk7j8spdufoos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2026-09-24T04:18:25.110Z</dcterms:created>
  <dcterms:modified xsi:type="dcterms:W3CDTF">2026-09-24T04:18:25.110Z</dcterms:modified>
</cp:coreProperties>
</file>

<file path=docProps/custom.xml><?xml version="1.0" encoding="utf-8"?>
<Properties xmlns="http://schemas.openxmlformats.org/officeDocument/2006/custom-properties" xmlns:vt="http://schemas.openxmlformats.org/officeDocument/2006/docPropsVTypes"/>
</file>