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1wgxdvs_1j420drs4i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начисления и уплаты страховых взносов по обязательному государственному социальному страхованию, в соответствии со статьями </w:t>
      </w:r>
      <w:hyperlink w:history="1" r:id="rId_7emivkn4gqa6rwuyj4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d4j7ni6mvlskc9jz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o4gf6cbnynlzocsmwr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tjpmeo7pvfju6ke__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 согласно </w:t>
      </w:r>
      <w:hyperlink w:history="1" r:id="rIdajivhoofhf6itxkvgf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за исключением пунктов 2 и 21 приложения к настоящему постановлению, которые вступают в силу с 1 ноября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2022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Изменения
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</w:t>
      </w:r>
      <w:hyperlink w:history="1" r:id="rIdqlk2drcbfcr92qvoudnt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"Об утверждении </w:t>
      </w:r>
      <w:hyperlink w:history="1" r:id="rIdz19ml4rkmzw-dvl_16r0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начисления и уплаты страховых взносов по государственному социальному страхованию" от 17 июля 2020 года № 385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7m7xojq-qpp1ftzuvprl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sr2eo5p7ekpf38jki-k6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"1) расчетный счет страховщика - счет на Едином казначейском счете, предназначенный для зачисления страховых взносов, пени и штрафных санкций;";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подпункты 2 и 29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"33) ошибочные платежи - платежи, поступившие на расчетный счет страховщика: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если не совпадает Единый казначейский счет и/или расчетные счета Социального фонда Кыргызской Республики с регистрацией в уполномоченном органе, в котором зарегистрирован плательщик;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если код платежа бюджетной классификации по страховым взносам поступивших сумм не совпадает с обязательствами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результате ошибочного исполнения банком платежного документа;";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дополнить подпунктами 33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и 33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"33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) невыясненные платежи - платежи, поступившие на расчетный счет страховщика, в котором некорректно указан код бюджетной классификации по страховым взносам, но назначение платежа указано (зарплата, налоговые платежи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) неопределенные платежи - платежи, поступившие на расчетный счет страховщика, в котором не указан или некорректно указан ИНН плательщика;";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36 после слов "(далее - ФОТ) -" дополнить словами "вознаграждение (возмещение) за труд в зависимости от сложности, количества, качества и условий,";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дополнить подпунктом 37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"37) электронный страховой полис - электронный документ, полученный через веб-сайт уполномоченного органа об уплате физическим лицом, индивидуальным предпринимателем страховых взносов в определенном размере и за определенный период.";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"9. Начисление и уплата страховых взносов в пользу работников - иностранных граждан и лиц без гражданства, постоянно или временно пребывающих в Кыргызской Республике или проживающих в другом государстве, но состоящих в трудовых отношениях с юридическим лицом, зарегистрированным в Кыргызской Республике, или иностранных граждан, занимающихся индивидуальной предпринимательской деятельностью, индивидуальной трудовой деятельностью, осуществляются по ставкам тарифов страховых взносов по соответствующей категории, установленных для граждан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пункте 17 слова "расчетной ведомости" заменить словами "отчете по средствам обязательного государственного социального страхования/расчетной ведомости";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пункт 20 дополнить абзацами вторым,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"Плательщики страховых взносов, осуществляющие начисление и уплату страховых взносов в порядке, установленном главой 2 настоящей Инструкции, ежемесячно составляют расчетные ведомости по средствам обязательного государственного социального страхования (далее - расчетная ведомость) в двух экземплярах за отчетные периоды до 1 января 2022 года по форме согласно приложению 1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Плательщики страховых взносов, не являющиеся субъектами малого и среднего предпринимательства, некоммерческой организацией в соответствии с налоговым законодательством Кыргызской Республики, ежемесячно составляют и представляют за отчетные периоды до 1 января 2022 года отчет по средствам обязательного государственного социального страхования по форме и в порядке, утвержденными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дополнить пунктом 21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"21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Внесение изменений в отчет по средствам обязательного государственного социального страхования/расчетную ведомость производится плательщиками страховых взносов путем составления уточненного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Уточненные отчеты представляются плательщиками страховых взносов в территориальные подразделения уполномоченного органа с прикреплением соответствующей подтверждающей информации о внесенных изменениях (больничный лист, приказ об увольнении, пенсионное удостоверение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уточненных отчетах корректируются записи только по тем застрахованным лицам, которые были указаны в первичных расчетных ведомостях. Информация по застрахованным лицам, не указанным в первичных расчетных ведомостях, включается исключительно по итогам налоговой проверки уполномоченным органом и на основании акта проверки.";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дополнить пунктами 35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и 35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"35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Для корректировки сведений, содержащихся в расчетной ведомости по форме согласно приложению 1 к настоящей Инструкции, за отчетные периоды до 1 января 2019 года уполномоченный орган направляет страховщику уточненный отчет с приложением подтверждающих документов (листок нетрудоспособности, приказ об увольнении, пенсионное удостоверение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. Начисление пени по страховым взносам юридическим лицам, физическим лицам и индивидуальным предпринимателям за отчетные периоды до 1 января 2019 года производится страховщиком.";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пункт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"36. При ликвидации или реорганизации, за исключением реорганизации путем преобразования, плательщика страховых взносов - юридического лица, за отчетный период, в котором было принято решение об утверждении ликвидационного баланса при ликвидации, разделительного баланса или передаточного акта при реорганизации, вместе с заявлением об аннулировании регистрационного номера Социального фонда Кыргызской Республики представляется ликвидационный отчет по средствам государственного социального страхования не позднее 10 (десять) рабочих дней с даты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отчетный период, в котором индивидуальный предприниматель обратился с заявлением об аннулировании регистрационного номера Социального фонда Кыргызской Республики, плательщик страховых взносов представляет заявление о прекращении деятельности и ликвидационный отчет по средствам государственного социального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в абзаце первом пункта 49 слова "уполномоченный государственный орган" заменить словами "региональный орган страховщика";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в абзацах восьмом и десятом пункта 62 слово "аккумуляционный" заменить словом "расчетный";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в пункте 66 слова "расчетной ведомости по средствам государственного социального страхования по форме согласно приложению 1 к" заменить словами "отчета по средствам обязательного государственного социального страхования в соответствии с пунктом 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пункт 68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"68. Страховой полис по выбору плательщика страховых взносов оформляется в виде документа на бумажном носителе либо в электронном формате (электронный страховой полис). Страховой полис на бумажном носителе и электронный страховой полис имеют равную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Электронный страховой полис выдается территориальными налоговыми органами по форме и в порядке, утвержденными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Страховые полисы на бумажном носителе по форме согласно приложению 6 к настоящей Инструкции приобретаются в территориальном подразделении уполномоченного органа по месту осуществления предпринимательской деятельности или по месту жительства индивидуального предпринимателя, физического лица на срок действия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определения стоимости страхового полиса, приобретаемого на срок действия патента, исчисляется сумма страхового взноса за 1 день, путем деления его месячной суммы на количество дней в месяце, равное 30 дням. Далее, однодневная сумма страхового взноса умножается на количество дней срока, на который выдан 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Индивидуальный предприниматель Касымов Э. участвует в выставке-продаже, которая проводится в городе Бишкек 27-29 июня 2019 года, и приобретает добровольный патент на вид услуги "Реализация продуктов ремесленной деятельности (народно-художественного промысла) собственного изготовления" сроком на 3 (три) дня. Ежемесячная ставка тарифа для него установлена в размере не менее 6% размера среднемесячной заработной платы. Сумма страхового взноса, подлежащая уплате за 3 (три) дня, будет рассчитана следующим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Среднемесячная заработная плата, без учета данных по предприятиям и организациям, уровень среднемесячной заработной платы которых более чем на 50 (пятьдесят) процентов превышает средний уровень заработной платы по республике в целом, по городу Бишкек за 2018 год - для исчисления страховых взносов в 2019 году составляет 12380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12380 сомов * 6% / 30 дней * 3 дня = 74,28 сома.";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12) подпункт 3 пункта 85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13) пункт 86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"86. По результатам работы по определению ошибочных платежей страховщик или уполномоченный орган в течение 2 (два) рабочих дней со дня регистрации заявления плательщика с приложением необходимых документов принимает следующее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 зачете или отказе в зачете ошибочно поступивших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 возврате или отказе в возврате ошибочно поступивших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14) пункт 89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"89. На основании принятого решения территориальное подразделение уполномоченного органа готовит заключение о зачете ошибочно поступивших денежных средств на расчетный счет страховщика или возврате ошибочно поступивших платежей плательщику страховых взносов.";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15) подпункт 2 пункта 90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16) пункт 92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"92. Страховщик на основании заключения, представленного территориальным подразделением уполномоченного органа, готовит заключение о зачете ошибочно поступивших платежей, в течение 3 (три) рабочих дней производит зачет или возврат сумм ошибочно поступивших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17) дополнить пунктом 99-1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"99-1. Расчет пени за период до 1 января 2019 года производится страховщиком согласно приложению 10 и направляется сальдо в уполномоченный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18) в пункте 101 слово "нарушениях" заменить словом "правонарушениях";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19) дополнить </w:t>
      </w:r>
      <w:hyperlink w:history="1" r:id="rId0e0b32he5s4nrmizdkld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главой 10</w:t>
        </w:r>
      </w:hyperlink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43k3rwqtat-7xz6ycxml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Глава 10</w:t>
        </w:r>
      </w:hyperlink>
      <w:r>
        <w:rPr>
          <w:rFonts w:ascii="Arial" w:cs="Arial" w:eastAsia="Arial" w:hAnsi="Arial"/>
          <w:sz w:val="22"/>
          <w:szCs w:val="22"/>
        </w:rPr>
        <w:t xml:space="preserve">. Применение норм международных соглашений
 и договоров, участницей которых является 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106. Начисление и уплата страховых взносов за нанятых работников, являющихся гражданами государств-членов Евразийского экономического союза (далее - ЕАЭС), Турецкой Республики, страхователем осуществляются по ставкам тарифов страховых взносов по соответствующей категории, установленных для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Ставки тарифов страховых взносов, предусмотренных для пенсионеров и инвалидов, не применяются в отношении нанятых работников, являющихся гражданами государств-членов ЕАЭС, Турецкой Республики, за исключением граждан государств-членов ЕАЭС, Турецкой Республики, ставших пенсионерами или инвалидами по законодательству Кыргызской Республики, в соответствии с Соглашением о пенсионном обеспечении трудящихся государств-членов ЕАЭС и Договором о социальном обеспечении между Правительством Кыргызской Республики и Правительством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107. Граждане Турецкой Республики подлежат освобождению от уплаты страховых взносов при предоставлении в Социальный фонд согласованных в соответствии с Административным соглашением по реализации договора о социальном обеспечении между Правительством Кыргызской Республики и Правительством Турецкой Республики форм, подтверждающих, что застрахованное лицо будет продолжать подпадать под законодательство Турецкой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застрахованное лицо из числа сотрудников предприятия Турецкой Республики, осуществляющего по найму или от своего имени международные транспортные перевозки пассажиров или товаров автомобильным, железнодорожным, воздушным или морским видом транспорта и имеющего зарегистрированный офис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застрахованное лицо, трудоустроенное в филиале или в постоянном представительстве предприятия Турецкой Республики, основанного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застрахованное лицо, являющееся сотрудником дипломатического представительства или работником консульского учреждения, а также обслуживающий персонал, нанятый на местном уровне для частной службы у должностных лиц миссий или консульств Турецкой Республики, имеет право выбора законодательства одной из стран, путем заполнения соответствующих 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лицо, направленное работодателем Турецкой Республики в Кыргызскую Республику (или Кыргызской Республики в Турецкую Республику) на период, не превышающий 24 (двадцать четыре) месяцев, при условии сохранения статуса работника того же самого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самозанятое лицо, работающее на территории одной из сторон для выполнения временной работы на период, не превышающий 24 (двадцать четыре)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Указанный в подпунктах 4 и 5 настоящего пункта период может быть продлен на срок до 60 (шестьдесят) месяцев в целом, по предварительному согласованию с уполномоченными органами или компетентными учреждениями сторон по вопросам государственного социального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20) </w:t>
      </w:r>
      <w:hyperlink w:history="1" r:id="rId25zbitb1o-sisn9zpcho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вышеуказанной Инструкции изложить в редакции согласно </w:t>
      </w:r>
      <w:hyperlink w:history="1" r:id="rIdxdis9wo_87a7cuhzzqsc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настоящим Изменениям;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21) в </w:t>
      </w:r>
      <w:hyperlink w:history="1" r:id="rIdalshqtkrrnafhg952dg0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4 раздела 1, пункт 4 раздела 2, пункт 4 раздела 3, пункт 4 раздела 5, пункт 4 раздела 6, пункт 4 раздела 7, пункт 4 раздела 8 и пункт 4 раздела 10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22) </w:t>
      </w:r>
      <w:hyperlink w:history="1" r:id="rIdukmowtuhif488ql9bwch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вышеуказанной Инструкции изложить в редакции согласно </w:t>
      </w:r>
      <w:hyperlink w:history="1" r:id="rIdvekkokv8uappaniv-nk4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настоящим Изменениям;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23) дополнить приложениями </w:t>
      </w:r>
      <w:hyperlink w:history="1" r:id="rIdnlm1fohsdbluyx_y6uxo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9</w:t>
        </w:r>
      </w:hyperlink>
      <w:r>
        <w:rPr>
          <w:rFonts w:ascii="Arial" w:cs="Arial" w:eastAsia="Arial" w:hAnsi="Arial"/>
          <w:sz w:val="22"/>
          <w:szCs w:val="22"/>
        </w:rPr>
        <w:t xml:space="preserve"> и </w:t>
      </w:r>
      <w:hyperlink w:history="1" r:id="rIdlqca_sonj24zrxegx0bd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10</w:t>
        </w:r>
      </w:hyperlink>
      <w:r>
        <w:rPr>
          <w:rFonts w:ascii="Arial" w:cs="Arial" w:eastAsia="Arial" w:hAnsi="Arial"/>
          <w:sz w:val="22"/>
          <w:szCs w:val="22"/>
        </w:rPr>
        <w:t xml:space="preserve"> в редакции согласно </w:t>
      </w:r>
      <w:hyperlink w:history="1" r:id="rIdhigczzdeqizzbph95oot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настоящим Изменениям.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Изменениям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-3jh6kmx8eatm-nktqyd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2"/>
          <w:szCs w:val="22"/>
        </w:rPr>
        <w:t xml:space="preserve">
 к Инструкции о порядке начисления и уплаты страховых взносов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РАСЧЕТНАЯ ВЕДОМОСТЬ
 по средствам государственного социального страхования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Отчетный период ____________________________ 20__ г.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Дата представления отчета "___"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3444"/>
        <w:gridCol w:w="851"/>
        <w:gridCol w:w="4721"/>
        <w:gridCol w:w="898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плательщика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Территориальное подразделение уполномоченного государственного органа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Юридический адрес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Регистрационный № плательщика в Социальном фонде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ОКПО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(наименование)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Расчетный счет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деятельности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Сообщение о занятости и заработной плате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1213"/>
        <w:gridCol w:w="360"/>
        <w:gridCol w:w="830"/>
        <w:gridCol w:w="503"/>
        <w:gridCol w:w="657"/>
        <w:gridCol w:w="712"/>
        <w:gridCol w:w="718"/>
        <w:gridCol w:w="685"/>
        <w:gridCol w:w="685"/>
        <w:gridCol w:w="818"/>
        <w:gridCol w:w="818"/>
        <w:gridCol w:w="712"/>
        <w:gridCol w:w="458"/>
        <w:gridCol w:w="779"/>
      </w:tblGrid>
      <w:tr>
        <w:tc>
          <w:tcPr>
            <w:tcW w:type="dxa" w:w="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Идентификационный номер</w:t>
            </w:r>
          </w:p>
        </w:tc>
        <w:tc>
          <w:tcPr>
            <w:tcW w:type="dxa" w:w="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</w:t>
            </w:r>
          </w:p>
        </w:tc>
        <w:tc>
          <w:tcPr>
            <w:tcW w:type="dxa" w:w="8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Коэффициент высокогорья и отдаленных районов</w:t>
            </w:r>
          </w:p>
        </w:tc>
        <w:tc>
          <w:tcPr>
            <w:tcW w:type="dxa" w:w="5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начала работы</w:t>
            </w:r>
          </w:p>
        </w:tc>
        <w:tc>
          <w:tcPr>
            <w:tcW w:type="dxa" w:w="6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окончания работы</w:t>
            </w:r>
          </w:p>
        </w:tc>
        <w:tc>
          <w:tcPr>
            <w:tcW w:type="dxa" w:w="7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дней</w:t>
            </w:r>
          </w:p>
        </w:tc>
        <w:tc>
          <w:tcPr>
            <w:tcW w:type="dxa" w:w="7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дней фактически</w:t>
            </w:r>
          </w:p>
        </w:tc>
        <w:tc>
          <w:tcPr>
            <w:tcW w:type="dxa" w:w="13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Доход, на который начислены страховые взносы</w:t>
            </w:r>
          </w:p>
        </w:tc>
        <w:tc>
          <w:tcPr>
            <w:tcW w:type="dxa" w:w="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Начисленные страховые взносы (сом)</w:t>
            </w:r>
          </w:p>
        </w:tc>
        <w:tc>
          <w:tcPr>
            <w:tcW w:type="dxa" w:w="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Начисленные взносы по НПФ (сом)</w:t>
            </w:r>
          </w:p>
        </w:tc>
        <w:tc>
          <w:tcPr>
            <w:tcW w:type="dxa" w:w="7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Категории работников</w:t>
            </w:r>
          </w:p>
        </w:tc>
        <w:tc>
          <w:tcPr>
            <w:tcW w:type="dxa" w:w="4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списка № 1 или № 2</w:t>
            </w:r>
          </w:p>
        </w:tc>
        <w:tc>
          <w:tcPr>
            <w:tcW w:type="dxa" w:w="7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Гражданство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ФОТ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Дополнительный ФОТ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…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Итого: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Категория работников: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Коды списков: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001 - основной работник;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007 - Список № 1;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100 - инвалид 1, 2 группы;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006 - Список № 2.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010 - иностранный гражданин (страна);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Если работник не относится к списку № 1 или № 2 - код не указывается.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101 - участник/инвалид ВОВ;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102 - лица, приравненные к участникам ВОВ;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Коды высокогорья и отдаленных районов: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003 - пенсионер;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500 - высокогорье;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103 - индивидуальный предприниматель;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501 - отдаленные районы.".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104 - арендодатель;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105 - гонорары, вознаграждения;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106 - младший обслуживающий персонал (далее - МОП);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107 - пенсионеры МОП.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Изменениям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csa2zq5hx6npxxt7tccg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2"/>
          <w:szCs w:val="22"/>
        </w:rPr>
        <w:t xml:space="preserve">
 к Инструкции о порядке начисления и уплаты страховых взносов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Мамлекеттик социалдык камсыздандыруу боюнча камсыздандыруу полиси
 Страховой полис по государственному социальному страхованию
 Серия АА № 0000000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Тарифтин туру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тарифа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Орточо айлык эмгек акы (сом) _____________________________ Тариф чени (%) 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Среднемесячная заработная плата (сом) ___________________ Ставка тарифа (%) ____________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Бийик тоолуу/барууга кыйын жана алыскы зонанын коду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высокогорья/труднодоступной и отдаленной зоны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Фамилиясы
 Фамилия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Аты
 Имя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Атасынын аты
 Отчество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Идентификациялык жеке номери (ИЖН)
 Персональный идентификационный номер (ПИН)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Жарандыгы
 Гражданство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Паспорт №, сериясы
 №, серия паспорта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Берилген куну
 Дата выдачи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(куну, айы, жылы/число, месяц, год)</w:t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Документ берген орган
 Орган, выдавший документ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Камсыздандыруу полисинин бир айлык наркы
 Месячная стоимость страхового полиса (сом)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Камсыздандыруу тогумдору томонку айга толонду
 Страховые взносы уплачены за месяц</w:t>
            </w:r>
          </w:p>
        </w:tc>
        <w:tc>
          <w:tcPr>
            <w:tcW w:type="dxa" w:w="407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с/тартып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по/чейин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(куну, айы, жылы/число, месяц, год)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                                   (сумма жазуу жузундо, сумма прописью)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Толонгон жалпы сумма (сом)
 Общая сумма уплаты (сом)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Камсыздандыруу полиси берилген кун
 Дата выдачи страхового полиса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(куну, айы, жылы/число, месяц, год)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                                        Иштеген жери/Место работы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 Социалдык фондунун/ыйгарым укуктуу мамлекеттик органдын башкармалыгынын аталышы
                          Название управления Социального фонда/уполномоченного государственного органа (МО)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 Жооптуу кызматкер (аты-жону жана колу)/Ответственный работник (ФИО и подпись)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 Камсыздандыруу полисинин ээсинин колу/Подпись владельца страхового полиса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Эскертуу: Тарифтин 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14 - ыктыярдуу камсыздандыруу тогумдору (8%);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15 - Мамлекеттик пенсиялык топтомо фондго ыктыярдуу камсыздандыруу тогумдору (2%);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16 - пенсиялык фондго камсыздандыруу стажын калыбына келтируу (8%);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17 - базарда иштеген жеке жак;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18 - иштин лицензияланган турун жургузгон жеке жак, гонорар (сый акы) алуучу жеке жак;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19 - жеке ишкер - Кыргыз Республикасынын аймагында убактылуу жургон чет олколук жарандар;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20 - кыймылдуу жана кыймылсыз мулкту ижарага беруудон киреше алган жеке жак;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21 - текстиль жана тигуу ондурушторундо жалданган жумушчулар;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22 - бирдиктуу салыктын негизинде же салыктык контракттын негизинде салык салуунун жонокойлоштурулгон системасы боюнча милдеттуу патент сатып алуу менен жалпы салык режиминин жана/же атайын салык режиминин негизинде салык толоочу жеке ишкер;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23 - ыктыярдуу патент сатып алуу менен атайын салык режиминин негизинде салык толоочу, ошондой эле базарлардагы контейнерлерде, павильондордо товар сатып иштеген жеке ишкер;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24 - базарлардагы лотоктордо, соода орундарында товар сатуу аркылуу жеке ишкердик менен алектенген жеке ишкер;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Бийик тоолуу/барууга кыйын жана алыскы зонанын коду: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500 - бийик тоолуулук коду;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501 - барууга кыйын жана алыскы зонанын коду.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Вид тарифа: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14 - добровольные страховые взносы (8%);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15 - добровольные страховые взносы в Государственный накопительный пенсионный фонд (2%);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16 - восстановление страхового стажа в пенсионный фонд (8%);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17 - физическое лицо, работающее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18 - физическое лицо, осуществляющее лицензированный вид деятельности, физическое лицо, получающее гонорары (вознаграждение);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19 - индивидуальный предприниматель - иностранные граждане, временно пребывающие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20 - физическое лицо, получающее доход от сдачи в аренду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21 - наемные работники, занятые в текстильном и швейном производствах;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22 - индивидуальный предприниматель, уплачивающий налоги на основе общего налогового режима и/или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23 - индивидуальный предприниматель, уплачивающий налоги на основе специального налогового режима путем приобретения добровольного патента, а также осуществляющий деятельность на рынках путем реализации товара из контейнера, в павильонах;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24 - индивидуальный предприниматель, осуществляющий предпринимательскую деятельность на рынках путем реализации товара с лотков, торговых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Код высокогорья/труднодоступной и отдаленной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500 - код высокогорья;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501 - код труднодоступной и отдаленной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Камсыздандыруу тогумдорун тологондугу жонундо квитанцияда милдеттуу турдо ЖИН корсотулсун.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квитанции об уплате страховых взносов обязательно указывать ПИН.".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Изменениям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vx7ivupnzyhhwslxg9l6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2"/>
          <w:szCs w:val="22"/>
        </w:rPr>
        <w:t xml:space="preserve">
 к Инструкции о порядке начисления и уплаты страховых взносов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Извещение плательщику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Плательщик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Подразделение:</w:t>
      </w:r>
      <w:r>
        <w:rPr>
          <w:rFonts w:ascii="Arial" w:cs="Arial" w:eastAsia="Arial" w:hAnsi="Arial"/>
          <w:sz w:val="22"/>
          <w:szCs w:val="22"/>
        </w:rPr>
        <w:t xml:space="preserve"> 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Дата и время формирования: </w:t>
      </w:r>
      <w:r>
        <w:rPr>
          <w:rFonts w:ascii="Arial" w:cs="Arial" w:eastAsia="Arial" w:hAnsi="Arial"/>
          <w:sz w:val="22"/>
          <w:szCs w:val="22"/>
        </w:rPr>
        <w:t xml:space="preserve">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Номер СФ: </w:t>
      </w: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Дата регистрации в УО:</w:t>
      </w:r>
      <w:r>
        <w:rPr>
          <w:rFonts w:ascii="Arial" w:cs="Arial" w:eastAsia="Arial" w:hAnsi="Arial"/>
          <w:sz w:val="22"/>
          <w:szCs w:val="22"/>
        </w:rPr>
        <w:t xml:space="preserve"> _________________________</w:t>
      </w:r>
      <w:r>
        <w:rPr>
          <w:rFonts w:ascii="Arial" w:cs="Arial" w:eastAsia="Arial" w:hAnsi="Arial"/>
          <w:sz w:val="22"/>
          <w:szCs w:val="22"/>
        </w:rPr>
        <w:t xml:space="preserve">__</w:t>
      </w:r>
      <w:r>
        <w:rPr>
          <w:rFonts w:ascii="Arial" w:cs="Arial" w:eastAsia="Arial" w:hAnsi="Arial"/>
          <w:sz w:val="22"/>
          <w:szCs w:val="22"/>
        </w:rPr>
        <w:t xml:space="preserve">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ПИН/ИНН:</w:t>
      </w:r>
      <w:r>
        <w:rPr>
          <w:rFonts w:ascii="Arial" w:cs="Arial" w:eastAsia="Arial" w:hAnsi="Arial"/>
          <w:sz w:val="22"/>
          <w:szCs w:val="22"/>
        </w:rPr>
        <w:t xml:space="preserve"> ______________________________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Дата регистрации в СФ:</w:t>
      </w:r>
      <w:r>
        <w:rPr>
          <w:rFonts w:ascii="Arial" w:cs="Arial" w:eastAsia="Arial" w:hAnsi="Arial"/>
          <w:sz w:val="22"/>
          <w:szCs w:val="22"/>
        </w:rPr>
        <w:t xml:space="preserve"> 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ОКПО: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Вид тарифа: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Адрес:</w:t>
      </w:r>
      <w:r>
        <w:rPr>
          <w:rFonts w:ascii="Arial" w:cs="Arial" w:eastAsia="Arial" w:hAnsi="Arial"/>
          <w:sz w:val="22"/>
          <w:szCs w:val="22"/>
        </w:rPr>
        <w:t xml:space="preserve"> __________________________________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Форма собственности: </w:t>
      </w:r>
      <w:r>
        <w:rPr>
          <w:rFonts w:ascii="Arial" w:cs="Arial" w:eastAsia="Arial" w:hAnsi="Arial"/>
          <w:sz w:val="22"/>
          <w:szCs w:val="22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ФИО руководителя:</w:t>
      </w:r>
      <w:r>
        <w:rPr>
          <w:rFonts w:ascii="Arial" w:cs="Arial" w:eastAsia="Arial" w:hAnsi="Arial"/>
          <w:sz w:val="22"/>
          <w:szCs w:val="22"/>
        </w:rPr>
        <w:t xml:space="preserve"> 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Организационно-правовая форма собственности: </w:t>
      </w:r>
      <w:r>
        <w:rPr>
          <w:rFonts w:ascii="Arial" w:cs="Arial" w:eastAsia="Arial" w:hAnsi="Arial"/>
          <w:sz w:val="22"/>
          <w:szCs w:val="22"/>
        </w:rPr>
        <w:t xml:space="preserve">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ФИО бухгалтера:</w:t>
      </w:r>
      <w:r>
        <w:rPr>
          <w:rFonts w:ascii="Arial" w:cs="Arial" w:eastAsia="Arial" w:hAnsi="Arial"/>
          <w:sz w:val="22"/>
          <w:szCs w:val="22"/>
        </w:rPr>
        <w:t xml:space="preserve"> 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Вид экономической деятельности:</w:t>
      </w:r>
      <w:r>
        <w:rPr>
          <w:rFonts w:ascii="Arial" w:cs="Arial" w:eastAsia="Arial" w:hAnsi="Arial"/>
          <w:sz w:val="22"/>
          <w:szCs w:val="22"/>
        </w:rPr>
        <w:t xml:space="preserve"> 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Среднемесячная заработная плата:</w:t>
      </w:r>
      <w:r>
        <w:rPr>
          <w:rFonts w:ascii="Arial" w:cs="Arial" w:eastAsia="Arial" w:hAnsi="Arial"/>
          <w:sz w:val="22"/>
          <w:szCs w:val="22"/>
        </w:rPr>
        <w:t xml:space="preserve"> 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Единый казначейский счет УККН:</w:t>
      </w:r>
      <w:r>
        <w:rPr>
          <w:rFonts w:ascii="Arial" w:cs="Arial" w:eastAsia="Arial" w:hAnsi="Arial"/>
          <w:sz w:val="22"/>
          <w:szCs w:val="22"/>
        </w:rPr>
        <w:t xml:space="preserve"> 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Единый казначейский счет УГНС:</w:t>
      </w:r>
      <w:r>
        <w:rPr>
          <w:rFonts w:ascii="Arial" w:cs="Arial" w:eastAsia="Arial" w:hAnsi="Arial"/>
          <w:sz w:val="22"/>
          <w:szCs w:val="22"/>
        </w:rPr>
        <w:t xml:space="preserve"> 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Единый казначейский счет СЭЗ г.Бишкек: 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Начальник </w:t>
      </w: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              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(подпись)</w:t>
      </w: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УККН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управление по контролю за крупными налогоплательщиками;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управление государственной налоговой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свободная экономическая зона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18pmm733nqus8hvhdv1i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2"/>
          <w:szCs w:val="22"/>
        </w:rPr>
        <w:t xml:space="preserve">
 к Инструкции о порядке начисления и уплаты страховых взносов по государственному социальному страхованию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РАСЧЕТ
 начисления пени на просроченную задолженность по страховым взносам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
 (Наименование 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Рег. № __________________________ Срок уплаты ___________________го числа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Остаток задолженности плательщика по страховым взносам на начало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Остаток задолженности плательщика по штрафам и пени на начало проверки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 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3"/>
        <w:gridCol w:w="1673"/>
        <w:gridCol w:w="1126"/>
        <w:gridCol w:w="883"/>
        <w:gridCol w:w="773"/>
        <w:gridCol w:w="773"/>
        <w:gridCol w:w="1441"/>
        <w:gridCol w:w="1077"/>
        <w:gridCol w:w="759"/>
      </w:tblGrid>
      <w:tr>
        <w:tc>
          <w:tcPr>
            <w:tcW w:type="dxa" w:w="33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Доход, на который начислены страховые взносы</w:t>
            </w:r>
          </w:p>
        </w:tc>
        <w:tc>
          <w:tcPr>
            <w:tcW w:type="dxa" w:w="11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начислено страховых взносов</w:t>
            </w:r>
          </w:p>
        </w:tc>
        <w:tc>
          <w:tcPr>
            <w:tcW w:type="dxa" w:w="8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Следует к платежу</w:t>
            </w:r>
          </w:p>
        </w:tc>
        <w:tc>
          <w:tcPr>
            <w:tcW w:type="dxa" w:w="15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Уплачено</w:t>
            </w:r>
          </w:p>
        </w:tc>
        <w:tc>
          <w:tcPr>
            <w:tcW w:type="dxa" w:w="14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просроченных платежей (сом)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Число дней просрочки</w:t>
            </w:r>
          </w:p>
        </w:tc>
        <w:tc>
          <w:tcPr>
            <w:tcW w:type="dxa" w:w="7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пени (сом)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Фактический фонд оплаты труда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Дополнительный ФОТ, на который начисляются страховые взносы, уплачиваемые работодателем за работника, чья заработная плата меньше 40% среднемесячной з/п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уплаты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ФИО/подпись проверяющего(их)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1wgxdvs_1j420drs4ihi" Type="http://schemas.openxmlformats.org/officeDocument/2006/relationships/hyperlink" Target="http://kodeks.duckdns.org/document/230018763" TargetMode="External"/><Relationship Id="rId_7emivkn4gqa6rwuyj4kt" Type="http://schemas.openxmlformats.org/officeDocument/2006/relationships/hyperlink" Target="http://kodeks.duckdns.org/document/112301#st_13" TargetMode="External"/><Relationship Id="rIdemd4j7ni6mvlskc9jzldp" Type="http://schemas.openxmlformats.org/officeDocument/2006/relationships/hyperlink" Target="http://kodeks.duckdns.org/document/112301#st_17" TargetMode="External"/><Relationship Id="rIdo4gf6cbnynlzocsmwrwte" Type="http://schemas.openxmlformats.org/officeDocument/2006/relationships/hyperlink" Target="http://kodeks.duckdns.org/document/157782" TargetMode="External"/><Relationship Id="rIdwtjpmeo7pvfju6ke__icy" Type="http://schemas.openxmlformats.org/officeDocument/2006/relationships/hyperlink" Target="http://kodeks.duckdns.org/document/157783" TargetMode="External"/><Relationship Id="rIdajivhoofhf6itxkvgf8fc" Type="http://schemas.openxmlformats.org/officeDocument/2006/relationships/hyperlink" Target="http://kodeks.duckdns.org/document/159315#pr" TargetMode="External"/><Relationship Id="rIdqlk2drcbfcr92qvoudnte" Type="http://schemas.openxmlformats.org/officeDocument/2006/relationships/hyperlink" Target="http://kodeks.duckdns.org/document/157782" TargetMode="External"/><Relationship Id="rIdz19ml4rkmzw-dvl_16r0y" Type="http://schemas.openxmlformats.org/officeDocument/2006/relationships/hyperlink" Target="http://kodeks.duckdns.org/document/157783" TargetMode="External"/><Relationship Id="rId7m7xojq-qpp1ftzuvprlo" Type="http://schemas.openxmlformats.org/officeDocument/2006/relationships/hyperlink" Target="http://kodeks.duckdns.org/document/157783" TargetMode="External"/><Relationship Id="rIdsr2eo5p7ekpf38jki-k6n" Type="http://schemas.openxmlformats.org/officeDocument/2006/relationships/hyperlink" Target="http://kodeks.duckdns.org/document/157782" TargetMode="External"/><Relationship Id="rId0e0b32he5s4nrmizdkldx" Type="http://schemas.openxmlformats.org/officeDocument/2006/relationships/hyperlink" Target="http://kodeks.duckdns.org/document/157783#g10" TargetMode="External"/><Relationship Id="rId43k3rwqtat-7xz6ycxmlb" Type="http://schemas.openxmlformats.org/officeDocument/2006/relationships/hyperlink" Target="http://kodeks.duckdns.org/document/157783#g10" TargetMode="External"/><Relationship Id="rId25zbitb1o-sisn9zpcho4" Type="http://schemas.openxmlformats.org/officeDocument/2006/relationships/hyperlink" Target="http://kodeks.duckdns.org/document/157783#pr1" TargetMode="External"/><Relationship Id="rIdxdis9wo_87a7cuhzzqscp" Type="http://schemas.openxmlformats.org/officeDocument/2006/relationships/hyperlink" Target="http://kodeks.duckdns.org/document/159315#pr1" TargetMode="External"/><Relationship Id="rIdalshqtkrrnafhg952dg09" Type="http://schemas.openxmlformats.org/officeDocument/2006/relationships/hyperlink" Target="http://kodeks.duckdns.org/document/157783#pr5" TargetMode="External"/><Relationship Id="rIdukmowtuhif488ql9bwchu" Type="http://schemas.openxmlformats.org/officeDocument/2006/relationships/hyperlink" Target="http://kodeks.duckdns.org/document/157783#pr6" TargetMode="External"/><Relationship Id="rIdvekkokv8uappaniv-nk4k" Type="http://schemas.openxmlformats.org/officeDocument/2006/relationships/hyperlink" Target="http://kodeks.duckdns.org/document/159315#pr2" TargetMode="External"/><Relationship Id="rIdnlm1fohsdbluyx_y6uxol" Type="http://schemas.openxmlformats.org/officeDocument/2006/relationships/hyperlink" Target="http://kodeks.duckdns.org/document/157783#pr9" TargetMode="External"/><Relationship Id="rIdlqca_sonj24zrxegx0bda" Type="http://schemas.openxmlformats.org/officeDocument/2006/relationships/hyperlink" Target="http://kodeks.duckdns.org/document/157783#pr10" TargetMode="External"/><Relationship Id="rIdhigczzdeqizzbph95ootc" Type="http://schemas.openxmlformats.org/officeDocument/2006/relationships/hyperlink" Target="http://kodeks.duckdns.org/document/159315#pr3" TargetMode="External"/><Relationship Id="rId-3jh6kmx8eatm-nktqydk" Type="http://schemas.openxmlformats.org/officeDocument/2006/relationships/hyperlink" Target="http://kodeks.duckdns.org/document/157783#pr1" TargetMode="External"/><Relationship Id="rIdcsa2zq5hx6npxxt7tccgq" Type="http://schemas.openxmlformats.org/officeDocument/2006/relationships/hyperlink" Target="http://kodeks.duckdns.org/document/159315#pr6" TargetMode="External"/><Relationship Id="rIdvx7ivupnzyhhwslxg9l6w" Type="http://schemas.openxmlformats.org/officeDocument/2006/relationships/hyperlink" Target="http://kodeks.duckdns.org/document/157783#pr9" TargetMode="External"/><Relationship Id="rId18pmm733nqus8hvhdv1ij" Type="http://schemas.openxmlformats.org/officeDocument/2006/relationships/hyperlink" Target="http://kodeks.duckdns.org/document/157783#pr10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2026-09-23T11:48:31.286Z</dcterms:created>
  <dcterms:modified xsi:type="dcterms:W3CDTF">2026-09-23T11:48:31.286Z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