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of254r9vm1ufb36ou2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июля 2022 года № 361)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Единой системе электронной почты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rol_3y5vl3hizbrfvx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Единой системе электронной почты определяет общие принципы и порядок функционирования в рамках использования Единой системы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система электронной почты (ЕСЭП, электронная почта)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решение, предназначенное для осуществления обмена электронными почтовыми сообщениями сотрудниками государственных органов и органов местного самоуправления при осуществлении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оператор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"Кызмат"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уполномоченное Кабинетом Министров Кыргызской Республики на техническое обслуживание, сопровождение, администрирование и осуществляющее эксплуатацию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области цифровизации, электронного управления, в сфере использования электронной подписи, государственных и муниципальных электронных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вещание, архивного дела,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и муниципальные органы, заключившие договор с техническим оператором на оказание услуг ЕСЭП и получившие доступ в ЕСЭП в порядке, определяемом техническим оператором;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контактное лицо</w:t>
      </w:r>
      <w:r>
        <w:rPr>
          <w:rFonts w:ascii="Arial" w:cs="Arial" w:eastAsia="Arial" w:hAnsi="Arial"/>
          <w:sz w:val="24"/>
          <w:szCs w:val="24"/>
        </w:rPr>
        <w:t xml:space="preserve"> - уполномоченный сотрудник, либо структурное подразделение государственного органа, органа местного самоуправления, заключившее договор с техническим оператором на оказание услуг ЕСЭП, на которого возложена ответственность по поддержке в актуальном состоянии адресов электронной почты и взаимодействию с техническим оператором, а также имеющий ограниченные административные права по созданию, изменению, закрытию адреса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почтовое сообщение</w:t>
      </w:r>
      <w:r>
        <w:rPr>
          <w:rFonts w:ascii="Arial" w:cs="Arial" w:eastAsia="Arial" w:hAnsi="Arial"/>
          <w:sz w:val="24"/>
          <w:szCs w:val="24"/>
        </w:rPr>
        <w:t xml:space="preserve"> - информация, полученная или передаваемая пользователем посредством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cert.ict.kg</w:t>
      </w:r>
      <w:r>
        <w:rPr>
          <w:rFonts w:ascii="Arial" w:cs="Arial" w:eastAsia="Arial" w:hAnsi="Arial"/>
          <w:sz w:val="24"/>
          <w:szCs w:val="24"/>
        </w:rPr>
        <w:t xml:space="preserve"> - подразделение реагирования на компьютерные инциденты Министерства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cert-kg</w:t>
      </w:r>
      <w:r>
        <w:rPr>
          <w:rFonts w:ascii="Arial" w:cs="Arial" w:eastAsia="Arial" w:hAnsi="Arial"/>
          <w:sz w:val="24"/>
          <w:szCs w:val="24"/>
        </w:rPr>
        <w:t xml:space="preserve"> - координационный центр по обеспечению кибербезопасности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pxs5e3p7aup0wh7bkl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ЕСЭП является обеспечение обмена электронными сообщениями и информацией государственных органов, органов местного самоуправления, государственных и муниципальных предприятий посредством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ЕСЭП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пользователям возможности обмена электронными почтовыми сообщениями посредством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упорядочение механизма обмена электронными почтовыми сообщениями путем использования единого домена "gov.kg";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сохранности и безопасности электронных почтовых сообщений в пределах функционирования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обязанности технического оператора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 отключение пользователям доступа к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договора с государственными органами и органами местного самоуправления о подключении к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бесперебойной и безопасной работы ЕСЭП, сохранности, защищенности и резервное копирование электронных почтовых сообщений в ЕСЭП в пределах функционирования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методической и технической поддержки государственным органам,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обращений и предложений государственных органов, органов местного самоуправления в части, касающейся изменений, дополнений и устранения проблем в функционале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кибербезопасности ЕСЭП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Технический оператор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мероприятия по модернизации ЕСЭП для улучшения и усовершенствования ее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обрабатывать персональные данные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обязанности пользователя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обязательного использования ЕСЭП сотрудниками при передаче электронных сообщений в рамках исполнения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передача актуальной информации о пользователях адресов ЕСЭП техническому оператору для организации доступа или отключения от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ответственного специалиста, либо структурного подразделения в качестве контактного лица для взаимодействия с техническим оператором, создания и удаления адреса электронной почты, а также актуализации списков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правил информационной безопасности при использовании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Пользователь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техническому оператору с предложениями о необходимости внесения изменений и дополнений в функционал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к техническому оператору по вопросам устранения проблем функционирования ЕСЭП;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у технического оператора методическую помощь по использованию ЕСЭП.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подключения к ЕСЭП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Подключение к ЕСЭП производится техническим оператором на основе договора, заключаемого между государственным органом либо другими органами, указанными в Положении, и техническим оператором согласно форме, установленной техническим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Пользователи формируют и направляют в адрес технического оператора списки пользователей электронной почты и информацию о контактных лицах, для создания почтового ящика и организации доступа к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Технический оператор по мере получения необходимой информации о пользователях и контактных лицах предоставляет контактным лицам права ограниченного административного доступа к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Контактные лица создают или закрывают адреса электронной почты в ЕСЭП для пользователей своих ведомств, государственных органов,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принятии на работу, а также при увольнении сотрудников, доступ к адресу электронной почты предоставляется или закрывается ответственными (контактными) лицами в течение двух рабочих дней с момента издания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использования электронной почты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использовании ЕСЭП пользователям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электронные почтовые сообщения, противоречащие законодательству Кыргызской Республики, в том числе информацию, содержащую сведения, составляющие государственные секреты и для служебного пользования, содержащую угрозы, клевету, непристойную информацию, оскорбляющую честь и достоинство других лиц, способствующую разжиганию межнациональной, религиозной и межэтнической розни, подстрекающую к насилию, призывающую к совершению противоправной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адрес электронной почты для оформления подписки на периодическую рассылку из сети Интернет рекламных материалов, не связанных с функциональными и служебными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другим лицам доступ к своему адресу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переходить по ссылкам и открывать вложенные файлы входящих электронных почтовых сообщений, полученных от неизвестных отправителей;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электронную почту в личных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электронную почту для рассылки спама.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обнаружения подозрительных ссылок, материалов и сообщений, поступивших в ЕСЭП, необходимо проинформировать ответственных лиц, сообщить в подразделение реагирования на компьютерные инциденты Министерства цифрового развития Кыргызской Республики (CERT.ICT.KG) и в Координационный центр по обеспечению кибербезопасности Государственного комитета национальной безопасности Кыргызской Республики (CERT-KG).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Требования к формату адресов электронной почты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Доменные имена адресов электронной почты государственных органов и органов местного самоуправления, формируются согласно справочнику, утвержденному владельцем ЕСЭП.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каждого сотрудника государственного органа и органа местного самоуправления, создается один адрес электронной почты в ЕСЭП, соответствующий следующей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адрес электронной почты (логин) должен состоять только из латинских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 электронной почты составляется с соблюдением следующего формата: перваябукваимени.фамилия@доменноеимя;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совпадении фамилии и имени пользователей допускается использование начальной буквы отчества: перваябукваимени.перваябукваотчества.фамилия@доменноеимя.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ЕСЭП размещается на серверном оборудовании технического оператора. Требования к серверному оборудованию и серверному помещению, а также к информационной безопасности устанавливаются в соответствии с </w:t>
      </w:r>
      <w:hyperlink w:history="1" r:id="rIdixs6zbwgrwlycjbd7m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Почтовые сообщения, направляющиеся через ЕСЭП, поступающие и хранящиеся в ЕСЭП, могут сканироваться средствами обеспечения информационной безопасности технического оператора на наличие вредоносных файлов.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ЕСЭП проводится резервное копирование и хранение сообщений и данных пользователей. Периодичность резервного копирования и сроки хранения определяются техническим 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ЕСЭП проводится логирование системных, прикладных и пользовательских действий и событий. Журналы событий должны быть защищены от несанкционированного изменения и удаления.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Пользователь ЕСЭП и технический оператор несут ответственность за сохранность и конфиденциальность персональных данных пользователей ЕСЭП в соответствии с </w:t>
      </w:r>
      <w:hyperlink w:history="1" r:id="rIdisvv-842rvpib-y8yv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f254r9vm1ufb36ou2hv" Type="http://schemas.openxmlformats.org/officeDocument/2006/relationships/hyperlink" Target="http://kodeks.duckdns.org/document/159333" TargetMode="External"/><Relationship Id="rIdtrol_3y5vl3hizbrfvx0f" Type="http://schemas.openxmlformats.org/officeDocument/2006/relationships/hyperlink" Target="http://kodeks.duckdns.org/document/230040934" TargetMode="External"/><Relationship Id="rIdcpxs5e3p7aup0wh7bklap" Type="http://schemas.openxmlformats.org/officeDocument/2006/relationships/hyperlink" Target="http://kodeks.duckdns.org/document/230040934" TargetMode="External"/><Relationship Id="rIdixs6zbwgrwlycjbd7m4yz" Type="http://schemas.openxmlformats.org/officeDocument/2006/relationships/hyperlink" Target="http://kodeks.duckdns.org/document/11511" TargetMode="External"/><Relationship Id="rIdisvv-842rvpib-y8yvplt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2026-09-23T11:56:46.584Z</dcterms:created>
  <dcterms:modified xsi:type="dcterms:W3CDTF">2026-09-23T11:56:46.584Z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