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 </w:t>
      </w:r>
      <w:hyperlink w:history="1" r:id="rIdlcmynagtfgl50yslvfzwj">
        <w:r>
          <w:rPr>
            <w:rFonts w:ascii="Arial" w:cs="Arial" w:eastAsia="Arial" w:hAnsi="Arial"/>
            <w:i/>
            <w:iCs/>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 лицензировании игорной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5z7wrkbwks7_tbu_ayg5j">
        <w:r>
          <w:rPr>
            <w:rFonts w:ascii="Arial" w:cs="Arial" w:eastAsia="Arial" w:hAnsi="Arial"/>
            <w:i/>
            <w:iCs/>
            <w:color w:val="1D4ED8"/>
            <w:sz w:val="24"/>
            <w:szCs w:val="24"/>
            <w:u w:val="single"/>
          </w:rPr>
          <w:t xml:space="preserve">30 января 2024 года № 36</w:t>
        </w:r>
      </w:hyperlink>
      <w:r>
        <w:rPr>
          <w:rFonts w:ascii="Arial" w:cs="Arial" w:eastAsia="Arial" w:hAnsi="Arial"/>
          <w:i/>
          <w:iCs/>
          <w:sz w:val="24"/>
          <w:szCs w:val="24"/>
        </w:rPr>
        <w:t xml:space="preserve">,  </w:t>
      </w:r>
      <w:hyperlink w:history="1" r:id="rIddgx21jmv9kgwmn619xvma">
        <w:r>
          <w:rPr>
            <w:rFonts w:ascii="Arial" w:cs="Arial" w:eastAsia="Arial" w:hAnsi="Arial"/>
            <w:i/>
            <w:iCs/>
            <w:color w:val="1D4ED8"/>
            <w:sz w:val="24"/>
            <w:szCs w:val="24"/>
            <w:u w:val="single"/>
          </w:rPr>
          <w:t xml:space="preserve">22 августа 2024 года № 491</w:t>
        </w:r>
      </w:hyperlink>
      <w:r>
        <w:rPr>
          <w:rFonts w:ascii="Arial" w:cs="Arial" w:eastAsia="Arial" w:hAnsi="Arial"/>
          <w:sz w:val="24"/>
          <w:szCs w:val="24"/>
        </w:rPr>
        <w:t xml:space="preserve">, </w:t>
      </w:r>
      <w:hyperlink w:history="1" r:id="rIddwr7-k2_ipdrreted7b8x">
        <w:r>
          <w:rPr>
            <w:rFonts w:ascii="Arial" w:cs="Arial" w:eastAsia="Arial" w:hAnsi="Arial"/>
            <w:i/>
            <w:iCs/>
            <w:color w:val="1D4ED8"/>
            <w:sz w:val="24"/>
            <w:szCs w:val="24"/>
            <w:u w:val="single"/>
          </w:rPr>
          <w:t xml:space="preserve">3 сентября 2025 года № 556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о лицензировании игорной деятельности в Кыргызской Республике (далее - Положение) регламентирует порядок выдачи, переоформления, приостановления, возобновления и аннулирования лицензий на игорную деятельность в Кыргызской Республике.</w:t>
      </w:r>
    </w:p>
    <w:p>
      <w:pPr>
        <w:spacing w:after="60"/>
        <w:ind w:firstLine="567"/>
        <w:jc w:val="both"/>
      </w:pPr>
      <w:r>
        <w:rPr>
          <w:rFonts w:ascii="Arial" w:cs="Arial" w:eastAsia="Arial" w:hAnsi="Arial"/>
          <w:sz w:val="24"/>
          <w:szCs w:val="24"/>
        </w:rPr>
        <w:t xml:space="preserve">2. Юридические лица в организационно-правовой форме общества с ограниченной ответственностью или закрытого акционерного общества, изъявившие желание заниматься игорной деятельностью, обязаны получить соответствующую лицензию.</w:t>
      </w:r>
    </w:p>
    <w:p>
      <w:pPr>
        <w:spacing w:after="60"/>
        <w:ind w:firstLine="567"/>
        <w:jc w:val="both"/>
      </w:pPr>
      <w:r>
        <w:rPr>
          <w:rFonts w:ascii="Arial" w:cs="Arial" w:eastAsia="Arial" w:hAnsi="Arial"/>
          <w:sz w:val="24"/>
          <w:szCs w:val="24"/>
        </w:rPr>
        <w:t xml:space="preserve">3. Служба регулирования и надзора за финансовым рынком при Министерстве экономики и коммерции Кыргызской Республики (далее - Финнадзор) является лицензиаром в области игорной деятельности, которая выдает лицензии на следующие виды деятельности:</w:t>
      </w:r>
    </w:p>
    <w:p>
      <w:pPr>
        <w:spacing w:after="60"/>
        <w:ind w:firstLine="567"/>
        <w:jc w:val="both"/>
      </w:pPr>
      <w:r>
        <w:rPr>
          <w:rFonts w:ascii="Arial" w:cs="Arial" w:eastAsia="Arial" w:hAnsi="Arial"/>
          <w:sz w:val="24"/>
          <w:szCs w:val="24"/>
        </w:rPr>
        <w:t xml:space="preserve">1) казино;</w:t>
      </w:r>
    </w:p>
    <w:p>
      <w:pPr>
        <w:spacing w:after="60"/>
        <w:ind w:firstLine="567"/>
        <w:jc w:val="both"/>
      </w:pPr>
      <w:r>
        <w:rPr>
          <w:rFonts w:ascii="Arial" w:cs="Arial" w:eastAsia="Arial" w:hAnsi="Arial"/>
          <w:sz w:val="24"/>
          <w:szCs w:val="24"/>
        </w:rPr>
        <w:t xml:space="preserve">2) тотализатор;</w:t>
      </w:r>
    </w:p>
    <w:p>
      <w:pPr>
        <w:spacing w:after="60"/>
        <w:ind w:firstLine="567"/>
        <w:jc w:val="both"/>
      </w:pPr>
      <w:r>
        <w:rPr>
          <w:rFonts w:ascii="Arial" w:cs="Arial" w:eastAsia="Arial" w:hAnsi="Arial"/>
          <w:sz w:val="24"/>
          <w:szCs w:val="24"/>
        </w:rPr>
        <w:t xml:space="preserve">3) букмекерская контора;</w:t>
      </w:r>
    </w:p>
    <w:p>
      <w:pPr>
        <w:spacing w:after="60"/>
        <w:ind w:firstLine="567"/>
        <w:jc w:val="both"/>
      </w:pPr>
      <w:r>
        <w:rPr>
          <w:rFonts w:ascii="Arial" w:cs="Arial" w:eastAsia="Arial" w:hAnsi="Arial"/>
          <w:i/>
          <w:iCs/>
          <w:sz w:val="24"/>
          <w:szCs w:val="24"/>
        </w:rPr>
        <w:t xml:space="preserve">4) (утратил силу в соответствии с постановлением Кабинета Министров КР от </w:t>
      </w:r>
      <w:hyperlink w:history="1" r:id="rIdsuxxj6wwfiomjs6fd63qz">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онлайн-казино;</w:t>
      </w:r>
    </w:p>
    <w:p>
      <w:pPr>
        <w:spacing w:after="60"/>
        <w:ind w:firstLine="567"/>
        <w:jc w:val="both"/>
      </w:pPr>
      <w:r>
        <w:rPr>
          <w:rFonts w:ascii="Arial" w:cs="Arial" w:eastAsia="Arial" w:hAnsi="Arial"/>
          <w:sz w:val="24"/>
          <w:szCs w:val="24"/>
        </w:rPr>
        <w:t xml:space="preserve">6) электронное (виртуальное) казино.</w:t>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yo-8ix89x7sk9g1buvpy-">
        <w:r>
          <w:rPr>
            <w:rFonts w:ascii="Arial" w:cs="Arial" w:eastAsia="Arial" w:hAnsi="Arial"/>
            <w:i/>
            <w:iCs/>
            <w:color w:val="1D4ED8"/>
            <w:sz w:val="24"/>
            <w:szCs w:val="24"/>
            <w:u w:val="single"/>
          </w:rPr>
          <w:t xml:space="preserve">30 января 2024 года № 36</w:t>
        </w:r>
      </w:hyperlink>
      <w:r>
        <w:rPr>
          <w:rFonts w:ascii="Arial" w:cs="Arial" w:eastAsia="Arial" w:hAnsi="Arial"/>
          <w:i/>
          <w:iCs/>
          <w:sz w:val="24"/>
          <w:szCs w:val="24"/>
        </w:rPr>
        <w:t xml:space="preserve">, </w:t>
      </w:r>
      <w:hyperlink w:history="1" r:id="rIdoy-adml_4uno2qnfpoh3e">
        <w:r>
          <w:rPr>
            <w:rFonts w:ascii="Arial" w:cs="Arial" w:eastAsia="Arial" w:hAnsi="Arial"/>
            <w:i/>
            <w:iCs/>
            <w:color w:val="1D4ED8"/>
            <w:sz w:val="24"/>
            <w:szCs w:val="24"/>
            <w:u w:val="single"/>
          </w:rPr>
          <w:t xml:space="preserve">22 августа 2024 года № 491</w:t>
        </w:r>
      </w:hyperlink>
    </w:p>
    <w:p>
      <w:pPr>
        <w:spacing w:after="60"/>
        <w:ind w:firstLine="567"/>
        <w:jc w:val="both"/>
      </w:pPr>
      <w:r>
        <w:rPr>
          <w:rFonts w:ascii="Arial" w:cs="Arial" w:eastAsia="Arial" w:hAnsi="Arial"/>
          <w:sz w:val="24"/>
          <w:szCs w:val="24"/>
        </w:rPr>
        <w:t xml:space="preserve">4. Лицензии в сфере онлайн-казино и электронного (виртуального) казино бывают двух видов:</w:t>
      </w:r>
    </w:p>
    <w:p>
      <w:pPr>
        <w:spacing w:after="60"/>
        <w:ind w:firstLine="567"/>
        <w:jc w:val="both"/>
      </w:pPr>
      <w:r>
        <w:rPr>
          <w:rFonts w:ascii="Arial" w:cs="Arial" w:eastAsia="Arial" w:hAnsi="Arial"/>
          <w:sz w:val="24"/>
          <w:szCs w:val="24"/>
        </w:rPr>
        <w:t xml:space="preserve">1) лицензия на администрирование виртуального казино;</w:t>
      </w:r>
    </w:p>
    <w:p>
      <w:pPr>
        <w:spacing w:after="60"/>
        <w:ind w:firstLine="567"/>
        <w:jc w:val="both"/>
      </w:pPr>
      <w:r>
        <w:rPr>
          <w:rFonts w:ascii="Arial" w:cs="Arial" w:eastAsia="Arial" w:hAnsi="Arial"/>
          <w:sz w:val="24"/>
          <w:szCs w:val="24"/>
        </w:rPr>
        <w:t xml:space="preserve">2) лицензия на операторство виртуального казино.</w:t>
      </w:r>
    </w:p>
    <w:p>
      <w:pPr>
        <w:spacing w:after="60"/>
        <w:ind w:firstLine="567"/>
        <w:jc w:val="both"/>
      </w:pPr>
      <w:r>
        <w:rPr>
          <w:rFonts w:ascii="Arial" w:cs="Arial" w:eastAsia="Arial" w:hAnsi="Arial"/>
          <w:sz w:val="24"/>
          <w:szCs w:val="24"/>
        </w:rPr>
        <w:t xml:space="preserve">5. Лицензия на игорную деятельность выдается сроком на десять лет с момента получения лицензии и является неотчуждаемой.</w:t>
      </w:r>
    </w:p>
    <w:p>
      <w:pPr>
        <w:spacing w:after="60"/>
        <w:ind w:firstLine="567"/>
        <w:jc w:val="both"/>
      </w:pPr>
      <w:r>
        <w:rPr>
          <w:rFonts w:ascii="Arial" w:cs="Arial" w:eastAsia="Arial" w:hAnsi="Arial"/>
          <w:sz w:val="24"/>
          <w:szCs w:val="24"/>
        </w:rPr>
        <w:t xml:space="preserve">6. Выдача, переоформление лицензии на выдачу дубликата лицензии осуществляются в порядке, установленном </w:t>
      </w:r>
      <w:hyperlink w:history="1" r:id="rIdio6fcg_c-jdt90vn0ffs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200" w:before="200"/>
        <w:jc w:val="center"/>
      </w:pPr>
      <w:r>
        <w:rPr>
          <w:rFonts w:ascii="Arial" w:cs="Arial" w:eastAsia="Arial" w:hAnsi="Arial"/>
          <w:b/>
          <w:bCs/>
          <w:sz w:val="24"/>
          <w:szCs w:val="24"/>
        </w:rPr>
        <w:t xml:space="preserve">2. Принципы лицензирования</w:t>
      </w:r>
    </w:p>
    <w:p>
      <w:pPr>
        <w:spacing w:after="60"/>
        <w:ind w:firstLine="567"/>
        <w:jc w:val="both"/>
      </w:pPr>
      <w:r>
        <w:rPr>
          <w:rFonts w:ascii="Arial" w:cs="Arial" w:eastAsia="Arial" w:hAnsi="Arial"/>
          <w:sz w:val="24"/>
          <w:szCs w:val="24"/>
        </w:rPr>
        <w:t xml:space="preserve">7. Принципами лицензирования являются:</w:t>
      </w:r>
    </w:p>
    <w:p>
      <w:pPr>
        <w:spacing w:after="60"/>
        <w:ind w:firstLine="567"/>
        <w:jc w:val="both"/>
      </w:pPr>
      <w:r>
        <w:rPr>
          <w:rFonts w:ascii="Arial" w:cs="Arial" w:eastAsia="Arial" w:hAnsi="Arial"/>
          <w:sz w:val="24"/>
          <w:szCs w:val="24"/>
        </w:rPr>
        <w:t xml:space="preserve">1) прозрачность, открытость процедур лицензирования;</w:t>
      </w:r>
    </w:p>
    <w:p>
      <w:pPr>
        <w:spacing w:after="60"/>
        <w:ind w:firstLine="567"/>
        <w:jc w:val="both"/>
      </w:pPr>
      <w:r>
        <w:rPr>
          <w:rFonts w:ascii="Arial" w:cs="Arial" w:eastAsia="Arial" w:hAnsi="Arial"/>
          <w:sz w:val="24"/>
          <w:szCs w:val="24"/>
        </w:rPr>
        <w:t xml:space="preserve">2) равные основания и условия выдачи лицензии для всех субъектов игорной деятельности;</w:t>
      </w:r>
    </w:p>
    <w:p>
      <w:pPr>
        <w:spacing w:after="60"/>
        <w:ind w:firstLine="567"/>
        <w:jc w:val="both"/>
      </w:pPr>
      <w:r>
        <w:rPr>
          <w:rFonts w:ascii="Arial" w:cs="Arial" w:eastAsia="Arial" w:hAnsi="Arial"/>
          <w:sz w:val="24"/>
          <w:szCs w:val="24"/>
        </w:rPr>
        <w:t xml:space="preserve">3) запрет лицензиару выдавать дополнительные лицензии, связанные с деятельностью, подлежащей лицензированию в соответствии с </w:t>
      </w:r>
      <w:hyperlink w:history="1" r:id="rIds8sc5zlcayw1uwtbf-tg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4) признание добросовестности лицензиата, если иное не доказано и не обосновано документами;</w:t>
      </w:r>
    </w:p>
    <w:p>
      <w:pPr>
        <w:spacing w:after="60"/>
        <w:ind w:firstLine="567"/>
        <w:jc w:val="both"/>
      </w:pPr>
      <w:r>
        <w:rPr>
          <w:rFonts w:ascii="Arial" w:cs="Arial" w:eastAsia="Arial" w:hAnsi="Arial"/>
          <w:sz w:val="24"/>
          <w:szCs w:val="24"/>
        </w:rPr>
        <w:t xml:space="preserve">5) исключение усиления монополизма на рынке или ограничения свободы предпринимательской деятельности при лицензировании;</w:t>
      </w:r>
    </w:p>
    <w:p>
      <w:pPr>
        <w:spacing w:after="60"/>
        <w:ind w:firstLine="567"/>
        <w:jc w:val="both"/>
      </w:pPr>
      <w:r>
        <w:rPr>
          <w:rFonts w:ascii="Arial" w:cs="Arial" w:eastAsia="Arial" w:hAnsi="Arial"/>
          <w:sz w:val="24"/>
          <w:szCs w:val="24"/>
        </w:rPr>
        <w:t xml:space="preserve">6) осуществление лицензионного контроля исключительно за счет средств республиканского бюджета. Запрет осуществления лицензионного контроля (мониторинга) лицензиарами за счет средств и имущества лицензиата.</w:t>
      </w:r>
    </w:p>
    <w:p>
      <w:pPr>
        <w:spacing w:after="60"/>
        <w:ind w:firstLine="567"/>
        <w:jc w:val="both"/>
      </w:pPr>
      <w:r>
        <w:rPr>
          <w:rFonts w:ascii="Arial" w:cs="Arial" w:eastAsia="Arial" w:hAnsi="Arial"/>
          <w:i/>
          <w:iCs/>
          <w:sz w:val="24"/>
          <w:szCs w:val="24"/>
        </w:rPr>
        <w:t xml:space="preserve">(В редакции </w:t>
      </w:r>
      <w:hyperlink w:history="1" r:id="rIdarx_6e36t2d7zokjb9kh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60"/>
        <w:ind w:firstLine="567"/>
        <w:jc w:val="both"/>
      </w:pPr>
      <w:r>
        <w:rPr>
          <w:rFonts w:ascii="Arial" w:cs="Arial" w:eastAsia="Arial" w:hAnsi="Arial"/>
          <w:sz w:val="24"/>
          <w:szCs w:val="24"/>
        </w:rPr>
        <w:t xml:space="preserve">8. Процедура лицензирования осуществляется на принципах, предусмотренных </w:t>
      </w:r>
      <w:hyperlink w:history="1" r:id="rId4ahjreb6ozo_kkp4fsxt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200" w:before="200"/>
        <w:jc w:val="center"/>
      </w:pPr>
      <w:r>
        <w:rPr>
          <w:rFonts w:ascii="Arial" w:cs="Arial" w:eastAsia="Arial" w:hAnsi="Arial"/>
          <w:b/>
          <w:bCs/>
          <w:sz w:val="24"/>
          <w:szCs w:val="24"/>
        </w:rPr>
        <w:t xml:space="preserve">3. Содержание лицензии</w:t>
      </w:r>
    </w:p>
    <w:p>
      <w:pPr>
        <w:spacing w:after="60"/>
        <w:ind w:firstLine="567"/>
        <w:jc w:val="both"/>
      </w:pPr>
      <w:r>
        <w:rPr>
          <w:rFonts w:ascii="Arial" w:cs="Arial" w:eastAsia="Arial" w:hAnsi="Arial"/>
          <w:sz w:val="24"/>
          <w:szCs w:val="24"/>
        </w:rPr>
        <w:t xml:space="preserve">9. Лицензия на игровую деятельность в Кыргызской Республике выдается по форме, указанной в </w:t>
      </w:r>
      <w:hyperlink w:history="1" r:id="rIdyqlw1maxi44x7bi0nqxyx">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лицензии указываются:</w:t>
      </w:r>
    </w:p>
    <w:p>
      <w:pPr>
        <w:spacing w:after="60"/>
        <w:ind w:firstLine="567"/>
        <w:jc w:val="both"/>
      </w:pPr>
      <w:r>
        <w:rPr>
          <w:rFonts w:ascii="Arial" w:cs="Arial" w:eastAsia="Arial" w:hAnsi="Arial"/>
          <w:sz w:val="24"/>
          <w:szCs w:val="24"/>
        </w:rPr>
        <w:t xml:space="preserve">- наименование лицензирующего органа;</w:t>
      </w:r>
    </w:p>
    <w:p>
      <w:pPr>
        <w:spacing w:after="60"/>
        <w:ind w:firstLine="567"/>
        <w:jc w:val="both"/>
      </w:pPr>
      <w:r>
        <w:rPr>
          <w:rFonts w:ascii="Arial" w:cs="Arial" w:eastAsia="Arial" w:hAnsi="Arial"/>
          <w:sz w:val="24"/>
          <w:szCs w:val="24"/>
        </w:rPr>
        <w:t xml:space="preserve">- полное и сокращенное фирменные наименования, организационно-правовая форма юридического лица, номер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лицензируемый вид деятельности;</w:t>
      </w:r>
    </w:p>
    <w:p>
      <w:pPr>
        <w:spacing w:after="60"/>
        <w:ind w:firstLine="567"/>
        <w:jc w:val="both"/>
      </w:pPr>
      <w:r>
        <w:rPr>
          <w:rFonts w:ascii="Arial" w:cs="Arial" w:eastAsia="Arial" w:hAnsi="Arial"/>
          <w:sz w:val="24"/>
          <w:szCs w:val="24"/>
        </w:rPr>
        <w:t xml:space="preserve">- срок действия лицензии;</w:t>
      </w:r>
    </w:p>
    <w:p>
      <w:pPr>
        <w:spacing w:after="60"/>
        <w:ind w:firstLine="567"/>
        <w:jc w:val="both"/>
      </w:pPr>
      <w:r>
        <w:rPr>
          <w:rFonts w:ascii="Arial" w:cs="Arial" w:eastAsia="Arial" w:hAnsi="Arial"/>
          <w:sz w:val="24"/>
          <w:szCs w:val="24"/>
        </w:rPr>
        <w:t xml:space="preserve">- территория осуществления деятельности;</w:t>
      </w:r>
    </w:p>
    <w:p>
      <w:pPr>
        <w:spacing w:after="60"/>
        <w:ind w:firstLine="567"/>
        <w:jc w:val="both"/>
      </w:pPr>
      <w:r>
        <w:rPr>
          <w:rFonts w:ascii="Arial" w:cs="Arial" w:eastAsia="Arial" w:hAnsi="Arial"/>
          <w:sz w:val="24"/>
          <w:szCs w:val="24"/>
        </w:rPr>
        <w:t xml:space="preserve">- дата выдачи и регистрационный номер лицензии.</w:t>
      </w:r>
    </w:p>
    <w:p>
      <w:pPr>
        <w:spacing w:after="60"/>
        <w:ind w:firstLine="567"/>
        <w:jc w:val="both"/>
      </w:pPr>
      <w:r>
        <w:rPr>
          <w:rFonts w:ascii="Arial" w:cs="Arial" w:eastAsia="Arial" w:hAnsi="Arial"/>
          <w:sz w:val="24"/>
          <w:szCs w:val="24"/>
        </w:rPr>
        <w:t xml:space="preserve">10. Лицензия может быть оформлена на бумажном носителе и в виде электронного документа, оформленного в соответствии с требованиями </w:t>
      </w:r>
      <w:hyperlink w:history="1" r:id="rIdhhf047piszoot_5fvyzv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 и выдаваемого с использованием информационных технологий, равнозначного лицензии на бумажном носителе.</w:t>
      </w:r>
    </w:p>
    <w:p>
      <w:pPr>
        <w:spacing w:after="200" w:before="200"/>
        <w:jc w:val="center"/>
      </w:pPr>
      <w:r>
        <w:rPr>
          <w:rFonts w:ascii="Arial" w:cs="Arial" w:eastAsia="Arial" w:hAnsi="Arial"/>
          <w:b/>
          <w:bCs/>
          <w:sz w:val="24"/>
          <w:szCs w:val="24"/>
        </w:rPr>
        <w:t xml:space="preserve">4. Выдача лицензии</w:t>
      </w:r>
    </w:p>
    <w:p>
      <w:pPr>
        <w:spacing w:after="60"/>
        <w:ind w:firstLine="567"/>
        <w:jc w:val="both"/>
      </w:pPr>
      <w:r>
        <w:rPr>
          <w:rFonts w:ascii="Arial" w:cs="Arial" w:eastAsia="Arial" w:hAnsi="Arial"/>
          <w:sz w:val="24"/>
          <w:szCs w:val="24"/>
        </w:rPr>
        <w:t xml:space="preserve">11. Лицензиар принимает решение о выдаче лицензии в сроки, определенные </w:t>
      </w:r>
      <w:hyperlink w:history="1" r:id="rIdwldahrlsnfcg99scpb2p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Решение принимается в форме приказа Лицензиара.</w:t>
      </w:r>
    </w:p>
    <w:p>
      <w:pPr>
        <w:spacing w:after="60"/>
        <w:ind w:firstLine="567"/>
        <w:jc w:val="both"/>
      </w:pPr>
      <w:r>
        <w:rPr>
          <w:rFonts w:ascii="Arial" w:cs="Arial" w:eastAsia="Arial" w:hAnsi="Arial"/>
          <w:sz w:val="24"/>
          <w:szCs w:val="24"/>
        </w:rPr>
        <w:t xml:space="preserve">12. При выдаче и переоформлении лицензии, выдаче дубликата лицензии, выдаваемых Лицензиаром, взимается государственная пошлина в соответствии с законодательством Кыргызской Республики о неналоговых доходах.</w:t>
      </w:r>
    </w:p>
    <w:p>
      <w:pPr>
        <w:spacing w:after="200" w:before="200"/>
        <w:jc w:val="center"/>
      </w:pPr>
      <w:r>
        <w:rPr>
          <w:rFonts w:ascii="Arial" w:cs="Arial" w:eastAsia="Arial" w:hAnsi="Arial"/>
          <w:b/>
          <w:bCs/>
          <w:sz w:val="24"/>
          <w:szCs w:val="24"/>
        </w:rPr>
        <w:t xml:space="preserve">5. Документы, необходимые для получения лицензии</w:t>
      </w:r>
    </w:p>
    <w:p>
      <w:pPr>
        <w:spacing w:after="60"/>
        <w:ind w:firstLine="567"/>
        <w:jc w:val="both"/>
      </w:pPr>
      <w:r>
        <w:rPr>
          <w:rFonts w:ascii="Arial" w:cs="Arial" w:eastAsia="Arial" w:hAnsi="Arial"/>
          <w:sz w:val="24"/>
          <w:szCs w:val="24"/>
        </w:rPr>
        <w:t xml:space="preserve">13. Для получения лицензии на соответствующий вид деятельности заявитель представляет лицензиару следующие документы:</w:t>
      </w:r>
    </w:p>
    <w:p>
      <w:pPr>
        <w:spacing w:after="60"/>
        <w:ind w:firstLine="567"/>
        <w:jc w:val="both"/>
      </w:pPr>
      <w:r>
        <w:rPr>
          <w:rFonts w:ascii="Arial" w:cs="Arial" w:eastAsia="Arial" w:hAnsi="Arial"/>
          <w:sz w:val="24"/>
          <w:szCs w:val="24"/>
        </w:rPr>
        <w:t xml:space="preserve">1) для казино:</w:t>
      </w:r>
    </w:p>
    <w:p>
      <w:pPr>
        <w:spacing w:after="60"/>
        <w:ind w:firstLine="567"/>
        <w:jc w:val="both"/>
      </w:pPr>
      <w:r>
        <w:rPr>
          <w:rFonts w:ascii="Arial" w:cs="Arial" w:eastAsia="Arial" w:hAnsi="Arial"/>
          <w:sz w:val="24"/>
          <w:szCs w:val="24"/>
        </w:rPr>
        <w:t xml:space="preserve">- заявление, согласно </w:t>
      </w:r>
      <w:hyperlink w:history="1" r:id="rId3l8elprga6cxclqcjf8u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заверенные юридическим лицом копии учредительного договора или решения единственного учредителя, устава юридического лица, протокола собрания учредителей (участников, акционеров) о принятии устава, утверждении должностных лиц и главного бухгалтера;</w:t>
      </w:r>
    </w:p>
    <w:p>
      <w:pPr>
        <w:spacing w:after="60"/>
        <w:ind w:firstLine="567"/>
        <w:jc w:val="both"/>
      </w:pPr>
      <w:r>
        <w:rPr>
          <w:rFonts w:ascii="Arial" w:cs="Arial" w:eastAsia="Arial" w:hAnsi="Arial"/>
          <w:sz w:val="24"/>
          <w:szCs w:val="24"/>
        </w:rPr>
        <w:t xml:space="preserve">- сведения о должностных лицах игорного заведения и главном бухгалтере (бухгалтер) по форме согласно </w:t>
      </w:r>
      <w:hyperlink w:history="1" r:id="rIdfmjipy9iwo6d95hzy1ta9">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заверенные юридическим лицом копии документов, подтверждающих право собственности или аренды на помещение (здание), в котором будет осуществляться деятельность по содержанию игорного заведения;</w:t>
      </w:r>
    </w:p>
    <w:p>
      <w:pPr>
        <w:spacing w:after="60"/>
        <w:ind w:firstLine="567"/>
        <w:jc w:val="both"/>
      </w:pPr>
      <w:r>
        <w:rPr>
          <w:rFonts w:ascii="Arial" w:cs="Arial" w:eastAsia="Arial" w:hAnsi="Arial"/>
          <w:sz w:val="24"/>
          <w:szCs w:val="24"/>
        </w:rPr>
        <w:t xml:space="preserve">- документы, подтверждающие установление средств охранной и тревожной сигнализации (договор об охране игорного заведения), системы видеонаблюдения и фотофиксации, позволяющие дистанционную фиксацию лиц, находящихся в игорных залах;</w:t>
      </w:r>
    </w:p>
    <w:p>
      <w:pPr>
        <w:spacing w:after="60"/>
        <w:ind w:firstLine="567"/>
        <w:jc w:val="both"/>
      </w:pPr>
      <w:r>
        <w:rPr>
          <w:rFonts w:ascii="Arial" w:cs="Arial" w:eastAsia="Arial" w:hAnsi="Arial"/>
          <w:sz w:val="24"/>
          <w:szCs w:val="24"/>
        </w:rPr>
        <w:t xml:space="preserve">- утвержденные игорным заведением правила организации и проведения азартных игр;</w:t>
      </w:r>
    </w:p>
    <w:p>
      <w:pPr>
        <w:spacing w:after="60"/>
        <w:ind w:firstLine="567"/>
        <w:jc w:val="both"/>
      </w:pPr>
      <w:r>
        <w:rPr>
          <w:rFonts w:ascii="Arial" w:cs="Arial" w:eastAsia="Arial" w:hAnsi="Arial"/>
          <w:sz w:val="24"/>
          <w:szCs w:val="24"/>
        </w:rPr>
        <w:t xml:space="preserve">- документ, подтверждающий формирование минимального обязательного резервного фонда;</w:t>
      </w:r>
    </w:p>
    <w:p>
      <w:pPr>
        <w:spacing w:after="60"/>
        <w:ind w:firstLine="567"/>
        <w:jc w:val="both"/>
      </w:pPr>
      <w:r>
        <w:rPr>
          <w:rFonts w:ascii="Arial" w:cs="Arial" w:eastAsia="Arial" w:hAnsi="Arial"/>
          <w:sz w:val="24"/>
          <w:szCs w:val="24"/>
        </w:rPr>
        <w:t xml:space="preserve">- копия документа, подтверждающего уплату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 подтверждение наличия системы по идентификации личности клиентов на наличие гражданства Кыргызской Республики;</w:t>
      </w:r>
    </w:p>
    <w:p>
      <w:pPr>
        <w:spacing w:after="120"/>
        <w:ind w:firstLine="567"/>
        <w:jc w:val="both"/>
      </w:pPr>
      <w:r>
        <w:rPr>
          <w:rFonts w:ascii="Arial" w:cs="Arial" w:eastAsia="Arial" w:hAnsi="Arial"/>
          <w:sz w:val="24"/>
          <w:szCs w:val="24"/>
        </w:rPr>
        <w:t xml:space="preserve">- документы о прохождении процедуры сертификации игрового оборудования и специализированных программных продуктов, свидетельствующие о соответствии установленным стандартам и подтвержденные уполномоченным государственным органом Кыргызской Республики по стандартизации;</w:t>
      </w:r>
    </w:p>
    <w:p>
      <w:pPr>
        <w:spacing w:after="60"/>
        <w:ind w:firstLine="567"/>
        <w:jc w:val="both"/>
      </w:pPr>
      <w:r>
        <w:rPr>
          <w:rFonts w:ascii="Arial" w:cs="Arial" w:eastAsia="Arial" w:hAnsi="Arial"/>
          <w:sz w:val="24"/>
          <w:szCs w:val="24"/>
        </w:rPr>
        <w:t xml:space="preserve">- копия договора с уполномоченным государственным органом по ведению реестра национальных паспортов граждан Кыргызской Республики об обслуживании запроса субъекта игорной деятельности в целях идентификации клиентов игорного заведения.</w:t>
      </w:r>
    </w:p>
    <w:p>
      <w:pPr>
        <w:spacing w:after="60"/>
        <w:ind w:firstLine="567"/>
        <w:jc w:val="both"/>
      </w:pPr>
      <w:r>
        <w:rPr>
          <w:rFonts w:ascii="Arial" w:cs="Arial" w:eastAsia="Arial" w:hAnsi="Arial"/>
          <w:sz w:val="24"/>
          <w:szCs w:val="24"/>
        </w:rPr>
        <w:t xml:space="preserve">2) для залов игровых автоматов, тотализаторов и букмекерских контор:</w:t>
      </w:r>
    </w:p>
    <w:p>
      <w:pPr>
        <w:spacing w:after="60"/>
        <w:ind w:firstLine="567"/>
        <w:jc w:val="both"/>
      </w:pPr>
      <w:r>
        <w:rPr>
          <w:rFonts w:ascii="Arial" w:cs="Arial" w:eastAsia="Arial" w:hAnsi="Arial"/>
          <w:sz w:val="24"/>
          <w:szCs w:val="24"/>
        </w:rPr>
        <w:t xml:space="preserve">- заявление, согласно </w:t>
      </w:r>
      <w:hyperlink w:history="1" r:id="rIdpqiavcxvijsfgq-lecpw-">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заверенные юридическим лицом копии учредительного договора или решения единственного учредителя, устава юридического лица, протокола собрания учредителей (участников, акционеров) о принятии устава, утверждении должностных лиц и главного бухгалтера;</w:t>
      </w:r>
    </w:p>
    <w:p>
      <w:pPr>
        <w:spacing w:after="60"/>
        <w:ind w:firstLine="567"/>
        <w:jc w:val="both"/>
      </w:pPr>
      <w:r>
        <w:rPr>
          <w:rFonts w:ascii="Arial" w:cs="Arial" w:eastAsia="Arial" w:hAnsi="Arial"/>
          <w:sz w:val="24"/>
          <w:szCs w:val="24"/>
        </w:rPr>
        <w:t xml:space="preserve">- сведения о должностных лицах игорного заведения и главном бухгалтере (бухгалтер) по форме согласно </w:t>
      </w:r>
      <w:hyperlink w:history="1" r:id="rIdh_fv1zbcrqcat1uueebxs">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заверенные юридическим лицом копии документов, подтверждающих право собственности или аренды на помещение (здание), в котором будет осуществляться деятельность по содержанию игорного заведения;</w:t>
      </w:r>
    </w:p>
    <w:p>
      <w:pPr>
        <w:spacing w:after="60"/>
        <w:ind w:firstLine="567"/>
        <w:jc w:val="both"/>
      </w:pPr>
      <w:r>
        <w:rPr>
          <w:rFonts w:ascii="Arial" w:cs="Arial" w:eastAsia="Arial" w:hAnsi="Arial"/>
          <w:sz w:val="24"/>
          <w:szCs w:val="24"/>
        </w:rPr>
        <w:t xml:space="preserve">- документы, подтверждающие установление средств охранной и тревожной сигнализации (договор об охране игорного заведения), системы видеонаблюдения и фотофиксации, позволяющие дистанционную фиксацию лиц, находящихся в игорных залах;</w:t>
      </w:r>
    </w:p>
    <w:p>
      <w:pPr>
        <w:spacing w:after="120"/>
        <w:ind w:firstLine="567"/>
        <w:jc w:val="both"/>
      </w:pPr>
      <w:r>
        <w:rPr>
          <w:rFonts w:ascii="Arial" w:cs="Arial" w:eastAsia="Arial" w:hAnsi="Arial"/>
          <w:sz w:val="24"/>
          <w:szCs w:val="24"/>
        </w:rPr>
        <w:t xml:space="preserve">- документы о прохождении процедуры сертификации игрового оборудования и специализированных программных продуктов, свидетельствующие о соответствии установленным стандартам и подтвержденные уполномоченным государственным органом Кыргызской Республики по стандартизации;</w:t>
      </w:r>
    </w:p>
    <w:p>
      <w:pPr>
        <w:spacing w:after="60"/>
        <w:ind w:firstLine="567"/>
        <w:jc w:val="both"/>
      </w:pPr>
      <w:r>
        <w:rPr>
          <w:rFonts w:ascii="Arial" w:cs="Arial" w:eastAsia="Arial" w:hAnsi="Arial"/>
          <w:sz w:val="24"/>
          <w:szCs w:val="24"/>
        </w:rPr>
        <w:t xml:space="preserve">- утвержденные игорным заведением правила организации и проведения азартных игр;</w:t>
      </w:r>
    </w:p>
    <w:p>
      <w:pPr>
        <w:spacing w:after="60"/>
        <w:ind w:firstLine="567"/>
        <w:jc w:val="both"/>
      </w:pPr>
      <w:r>
        <w:rPr>
          <w:rFonts w:ascii="Arial" w:cs="Arial" w:eastAsia="Arial" w:hAnsi="Arial"/>
          <w:sz w:val="24"/>
          <w:szCs w:val="24"/>
        </w:rPr>
        <w:t xml:space="preserve">- документ, подтверждающий формирование минимального обязательного резервного фонда;</w:t>
      </w:r>
    </w:p>
    <w:p>
      <w:pPr>
        <w:spacing w:after="60"/>
        <w:ind w:firstLine="567"/>
        <w:jc w:val="both"/>
      </w:pPr>
      <w:r>
        <w:rPr>
          <w:rFonts w:ascii="Arial" w:cs="Arial" w:eastAsia="Arial" w:hAnsi="Arial"/>
          <w:sz w:val="24"/>
          <w:szCs w:val="24"/>
        </w:rPr>
        <w:t xml:space="preserve">- справка из налоговых органов об отсутствии налоговой задолженности;</w:t>
      </w:r>
    </w:p>
    <w:p>
      <w:pPr>
        <w:spacing w:after="60"/>
        <w:ind w:firstLine="567"/>
        <w:jc w:val="both"/>
      </w:pPr>
      <w:r>
        <w:rPr>
          <w:rFonts w:ascii="Arial" w:cs="Arial" w:eastAsia="Arial" w:hAnsi="Arial"/>
          <w:sz w:val="24"/>
          <w:szCs w:val="24"/>
        </w:rPr>
        <w:t xml:space="preserve">- копия документа, подтверждающего уплату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 подтверждение наличия системы по идентификации личности клиентов на наличие гражданства Кыргызской Республики;</w:t>
      </w:r>
    </w:p>
    <w:p>
      <w:pPr>
        <w:spacing w:after="60"/>
        <w:ind w:firstLine="567"/>
        <w:jc w:val="both"/>
      </w:pPr>
      <w:r>
        <w:rPr>
          <w:rFonts w:ascii="Arial" w:cs="Arial" w:eastAsia="Arial" w:hAnsi="Arial"/>
          <w:sz w:val="24"/>
          <w:szCs w:val="24"/>
        </w:rPr>
        <w:t xml:space="preserve">- копия договора с уполномоченным государственным органом по ведению реестра национальных паспортов граждан Кыргызской Республики об обслуживании запроса субъекта игорной деятельности в целях идентификации клиентов игорного заведения.</w:t>
      </w:r>
    </w:p>
    <w:p>
      <w:pPr>
        <w:spacing w:after="60"/>
        <w:ind w:firstLine="567"/>
        <w:jc w:val="both"/>
      </w:pPr>
      <w:r>
        <w:rPr>
          <w:rFonts w:ascii="Arial" w:cs="Arial" w:eastAsia="Arial" w:hAnsi="Arial"/>
          <w:sz w:val="24"/>
          <w:szCs w:val="24"/>
        </w:rPr>
        <w:t xml:space="preserve">3) для онлайн-казино, электронного (виртуального) казино:</w:t>
      </w:r>
    </w:p>
    <w:p>
      <w:pPr>
        <w:spacing w:after="60"/>
        <w:ind w:firstLine="567"/>
        <w:jc w:val="both"/>
      </w:pPr>
      <w:r>
        <w:rPr>
          <w:rFonts w:ascii="Arial" w:cs="Arial" w:eastAsia="Arial" w:hAnsi="Arial"/>
          <w:sz w:val="24"/>
          <w:szCs w:val="24"/>
        </w:rPr>
        <w:t xml:space="preserve">- заявление, согласно </w:t>
      </w:r>
      <w:hyperlink w:history="1" r:id="rIddhynzjye5dx8xidikoho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заверенные юридическим лицом копии учредительного договора или решения единственного учредителя, устава юридического лица, протокола собрания учредителей (участников, акционеров) о принятии устава, утверждении должностных лиц и главного бухгалтера;</w:t>
      </w:r>
    </w:p>
    <w:p>
      <w:pPr>
        <w:spacing w:after="60"/>
        <w:ind w:firstLine="567"/>
        <w:jc w:val="both"/>
      </w:pPr>
      <w:r>
        <w:rPr>
          <w:rFonts w:ascii="Arial" w:cs="Arial" w:eastAsia="Arial" w:hAnsi="Arial"/>
          <w:sz w:val="24"/>
          <w:szCs w:val="24"/>
        </w:rPr>
        <w:t xml:space="preserve">- сведения о должностных лицах игорного заведения и главном бухгалтере (бухгалтер) по форме согласно </w:t>
      </w:r>
      <w:hyperlink w:history="1" r:id="rIdvd7wirs1srwyz6gbcsvx3">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копии документов, подтверждающих право собственности или право аренды на программное обеспечение, посредством которого осуществляется создание, организация и проведение азартных игр;</w:t>
      </w:r>
    </w:p>
    <w:p>
      <w:pPr>
        <w:spacing w:after="60"/>
        <w:ind w:firstLine="567"/>
        <w:jc w:val="both"/>
      </w:pPr>
      <w:r>
        <w:rPr>
          <w:rFonts w:ascii="Arial" w:cs="Arial" w:eastAsia="Arial" w:hAnsi="Arial"/>
          <w:sz w:val="24"/>
          <w:szCs w:val="24"/>
        </w:rPr>
        <w:t xml:space="preserve">- утвержденные игорным заведением правила организации и проведения азартных игр;</w:t>
      </w:r>
    </w:p>
    <w:p>
      <w:pPr>
        <w:spacing w:after="60"/>
        <w:ind w:firstLine="567"/>
        <w:jc w:val="both"/>
      </w:pPr>
      <w:r>
        <w:rPr>
          <w:rFonts w:ascii="Arial" w:cs="Arial" w:eastAsia="Arial" w:hAnsi="Arial"/>
          <w:sz w:val="24"/>
          <w:szCs w:val="24"/>
        </w:rPr>
        <w:t xml:space="preserve">- документ, подтверждающий формирование минимального обязательного резервного фонда;</w:t>
      </w:r>
    </w:p>
    <w:p>
      <w:pPr>
        <w:spacing w:after="60"/>
        <w:ind w:firstLine="567"/>
        <w:jc w:val="both"/>
      </w:pPr>
      <w:r>
        <w:rPr>
          <w:rFonts w:ascii="Arial" w:cs="Arial" w:eastAsia="Arial" w:hAnsi="Arial"/>
          <w:sz w:val="24"/>
          <w:szCs w:val="24"/>
        </w:rPr>
        <w:t xml:space="preserve">- копия документа, подтверждающего уплату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 подтверждение наличия системы по идентификации личности клиентов на наличие гражданства Кыргызской Республики;</w:t>
      </w:r>
    </w:p>
    <w:p>
      <w:pPr>
        <w:spacing w:after="60"/>
        <w:ind w:firstLine="567"/>
        <w:jc w:val="both"/>
      </w:pPr>
      <w:r>
        <w:rPr>
          <w:rFonts w:ascii="Arial" w:cs="Arial" w:eastAsia="Arial" w:hAnsi="Arial"/>
          <w:sz w:val="24"/>
          <w:szCs w:val="24"/>
        </w:rPr>
        <w:t xml:space="preserve">- копия договора с уполномоченным государственным органом по ведению реестра национальных паспортов граждан Кыргызской Республики об обслуживании, запроса субъекта игорной деятельности в целях идентификации клиентов игорного заведения.</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mfzmsbgd3qxhy-vk9cnyc">
        <w:r>
          <w:rPr>
            <w:rFonts w:ascii="Arial" w:cs="Arial" w:eastAsia="Arial" w:hAnsi="Arial"/>
            <w:i/>
            <w:iCs/>
            <w:color w:val="1D4ED8"/>
            <w:sz w:val="24"/>
            <w:szCs w:val="24"/>
            <w:u w:val="single"/>
          </w:rPr>
          <w:t xml:space="preserve">22 августа 2024 года № 491</w:t>
        </w:r>
      </w:hyperlink>
      <w:r>
        <w:rPr>
          <w:rFonts w:ascii="Arial" w:cs="Arial" w:eastAsia="Arial" w:hAnsi="Arial"/>
          <w:sz w:val="24"/>
          <w:szCs w:val="24"/>
        </w:rPr>
        <w:t xml:space="preserve">, </w:t>
      </w:r>
      <w:hyperlink w:history="1" r:id="rId6jb9tgj1wjchisbg7kn1h">
        <w:r>
          <w:rPr>
            <w:rFonts w:ascii="Arial" w:cs="Arial" w:eastAsia="Arial" w:hAnsi="Arial"/>
            <w:i/>
            <w:iCs/>
            <w:color w:val="1D4ED8"/>
            <w:sz w:val="24"/>
            <w:szCs w:val="24"/>
            <w:u w:val="single"/>
          </w:rPr>
          <w:t xml:space="preserve">3 сентября 2025 года № 556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 Документы, указанные в пункте 13 настоящего Положения, предоставляются заявителем на государственном или официальном языках, в бумажном виде,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игорной деятельности в Кыргызской Республике", в случае предоставления в бумажном виде - документы должны быть прошиты и пронумерованы.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ioeqw5h2orlnrhckovnl">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Отказ в выдаче лицензии</w:t>
      </w:r>
    </w:p>
    <w:p>
      <w:pPr>
        <w:spacing w:after="60"/>
        <w:ind w:firstLine="567"/>
        <w:jc w:val="both"/>
      </w:pPr>
      <w:r>
        <w:rPr>
          <w:rFonts w:ascii="Arial" w:cs="Arial" w:eastAsia="Arial" w:hAnsi="Arial"/>
          <w:sz w:val="24"/>
          <w:szCs w:val="24"/>
        </w:rPr>
        <w:t xml:space="preserve">15. Основаниями для отказа в выдаче лицензии являются основания, указанные в </w:t>
      </w:r>
      <w:hyperlink w:history="1" r:id="rIdhsxjuhqkjnjtqq2xisjca">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игорной деятельности в Кыргызской Республике" и </w:t>
      </w:r>
      <w:hyperlink w:history="1" r:id="rIdovncze4mmxkpyccn4iypr">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Запрещается отказ в выдаче лицензии по основаниям, не предусмотренным </w:t>
      </w:r>
      <w:hyperlink w:history="1" r:id="rIdh8-dys5fzklqa1luwnf9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16. Лицензиар принимает решение об отказе в выдаче лицензии не позднее 30 календарных дней со дня подачи заявления с документами, предусмотренными в пункте 12 настоящего Положения. Лицензиар обязан уведомить заявителя лицензии о принятом решении в письменной форме, с указанием причин отказа.</w:t>
      </w:r>
    </w:p>
    <w:p>
      <w:pPr>
        <w:spacing w:after="60"/>
        <w:ind w:firstLine="567"/>
        <w:jc w:val="both"/>
      </w:pPr>
      <w:r>
        <w:rPr>
          <w:rFonts w:ascii="Arial" w:cs="Arial" w:eastAsia="Arial" w:hAnsi="Arial"/>
          <w:sz w:val="24"/>
          <w:szCs w:val="24"/>
        </w:rPr>
        <w:t xml:space="preserve">17. Отказ лицензиара в выдаче лицензии заявитель имеет право обжаловать в порядке, установленном </w:t>
      </w:r>
      <w:hyperlink w:history="1" r:id="rIdasw0v1pn7z1v7f22ghxf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18. В случае устранения оснований отказа, заявление подлежит повторному рассмотрению. При этом срок рассмотрения заявления и выдачи лицензии начинает исчисляться со дня предоставления заявления на повторное рассмотрение.</w:t>
      </w:r>
    </w:p>
    <w:p>
      <w:pPr>
        <w:spacing w:after="60"/>
        <w:ind w:firstLine="567"/>
        <w:jc w:val="both"/>
      </w:pPr>
      <w:r>
        <w:rPr>
          <w:rFonts w:ascii="Arial" w:cs="Arial" w:eastAsia="Arial" w:hAnsi="Arial"/>
          <w:sz w:val="24"/>
          <w:szCs w:val="24"/>
        </w:rPr>
        <w:t xml:space="preserve">19. Возмещение убытков, вызванных необоснованным отказом в выдаче лицензии или нарушением прав лицензиата, осуществляется в порядке, установленном гражданским законодательством.</w:t>
      </w:r>
    </w:p>
    <w:p>
      <w:pPr>
        <w:spacing w:after="200" w:before="200"/>
        <w:jc w:val="center"/>
      </w:pPr>
      <w:r>
        <w:rPr>
          <w:rFonts w:ascii="Arial" w:cs="Arial" w:eastAsia="Arial" w:hAnsi="Arial"/>
          <w:b/>
          <w:bCs/>
          <w:sz w:val="24"/>
          <w:szCs w:val="24"/>
        </w:rPr>
        <w:t xml:space="preserve">7. Переоформление лицензии</w:t>
      </w:r>
    </w:p>
    <w:p>
      <w:pPr>
        <w:spacing w:after="60"/>
        <w:ind w:firstLine="567"/>
        <w:jc w:val="both"/>
      </w:pPr>
      <w:r>
        <w:rPr>
          <w:rFonts w:ascii="Arial" w:cs="Arial" w:eastAsia="Arial" w:hAnsi="Arial"/>
          <w:sz w:val="24"/>
          <w:szCs w:val="24"/>
        </w:rPr>
        <w:t xml:space="preserve">20. Переоформление лицензии осуществляется в случаях:</w:t>
      </w:r>
    </w:p>
    <w:p>
      <w:pPr>
        <w:spacing w:after="60"/>
        <w:ind w:firstLine="567"/>
        <w:jc w:val="both"/>
      </w:pPr>
      <w:r>
        <w:rPr>
          <w:rFonts w:ascii="Arial" w:cs="Arial" w:eastAsia="Arial" w:hAnsi="Arial"/>
          <w:sz w:val="24"/>
          <w:szCs w:val="24"/>
        </w:rPr>
        <w:t xml:space="preserve">1) преобразования юридического лица;</w:t>
      </w:r>
    </w:p>
    <w:p>
      <w:pPr>
        <w:spacing w:after="60"/>
        <w:ind w:firstLine="567"/>
        <w:jc w:val="both"/>
      </w:pPr>
      <w:r>
        <w:rPr>
          <w:rFonts w:ascii="Arial" w:cs="Arial" w:eastAsia="Arial" w:hAnsi="Arial"/>
          <w:sz w:val="24"/>
          <w:szCs w:val="24"/>
        </w:rPr>
        <w:t xml:space="preserve">2) изменения наименования юридического лица;</w:t>
      </w:r>
    </w:p>
    <w:p>
      <w:pPr>
        <w:spacing w:after="60"/>
        <w:ind w:firstLine="567"/>
        <w:jc w:val="both"/>
      </w:pPr>
      <w:r>
        <w:rPr>
          <w:rFonts w:ascii="Arial" w:cs="Arial" w:eastAsia="Arial" w:hAnsi="Arial"/>
          <w:sz w:val="24"/>
          <w:szCs w:val="24"/>
        </w:rPr>
        <w:t xml:space="preserve">3) изменения юридического адреса;</w:t>
      </w:r>
    </w:p>
    <w:p>
      <w:pPr>
        <w:spacing w:after="60"/>
        <w:ind w:firstLine="567"/>
        <w:jc w:val="both"/>
      </w:pPr>
      <w:r>
        <w:rPr>
          <w:rFonts w:ascii="Arial" w:cs="Arial" w:eastAsia="Arial" w:hAnsi="Arial"/>
          <w:sz w:val="24"/>
          <w:szCs w:val="24"/>
        </w:rPr>
        <w:t xml:space="preserve">4) изменения наименования игорного заведения;</w:t>
      </w:r>
    </w:p>
    <w:p>
      <w:pPr>
        <w:spacing w:after="60"/>
        <w:ind w:firstLine="567"/>
        <w:jc w:val="both"/>
      </w:pPr>
      <w:r>
        <w:rPr>
          <w:rFonts w:ascii="Arial" w:cs="Arial" w:eastAsia="Arial" w:hAnsi="Arial"/>
          <w:sz w:val="24"/>
          <w:szCs w:val="24"/>
        </w:rPr>
        <w:t xml:space="preserve">5) изменения месторасположения игорного заведения;</w:t>
      </w:r>
    </w:p>
    <w:p>
      <w:pPr>
        <w:spacing w:after="60"/>
        <w:ind w:firstLine="567"/>
        <w:jc w:val="both"/>
      </w:pPr>
      <w:r>
        <w:rPr>
          <w:rFonts w:ascii="Arial" w:cs="Arial" w:eastAsia="Arial" w:hAnsi="Arial"/>
          <w:sz w:val="24"/>
          <w:szCs w:val="24"/>
        </w:rPr>
        <w:t xml:space="preserve">6) изменения количества игорного оборудования.</w:t>
      </w:r>
    </w:p>
    <w:p>
      <w:pPr>
        <w:spacing w:after="60"/>
        <w:ind w:firstLine="567"/>
        <w:jc w:val="both"/>
      </w:pPr>
      <w:r>
        <w:rPr>
          <w:rFonts w:ascii="Arial" w:cs="Arial" w:eastAsia="Arial" w:hAnsi="Arial"/>
          <w:sz w:val="24"/>
          <w:szCs w:val="24"/>
        </w:rPr>
        <w:t xml:space="preserve">Для переоформления лицензии лицензиат предоставляет копии документов, которые явились основанием для переоформления.</w:t>
      </w:r>
    </w:p>
    <w:p>
      <w:pPr>
        <w:spacing w:after="60"/>
        <w:ind w:firstLine="567"/>
        <w:jc w:val="both"/>
      </w:pPr>
      <w:r>
        <w:rPr>
          <w:rFonts w:ascii="Arial" w:cs="Arial" w:eastAsia="Arial" w:hAnsi="Arial"/>
          <w:sz w:val="24"/>
          <w:szCs w:val="24"/>
        </w:rPr>
        <w:t xml:space="preserve">21. В случае утери или приведения в негодность бланка лицензии, лицензиат обязан в трехдневный срок сообщить об этом лицензиару, и в течение десяти дней подать заявление на получение дубликата лицензии. В заявлении должны быть указаны все реквизиты бланка утраченного/пришедшего в негодность и причины утраты/приведения в негодность. Дубликат лицензии выдается на основании представленных документов и должен иметь отметку "Дубликат".</w:t>
      </w:r>
    </w:p>
    <w:p>
      <w:pPr>
        <w:spacing w:after="60"/>
        <w:ind w:firstLine="567"/>
        <w:jc w:val="both"/>
      </w:pPr>
      <w:r>
        <w:rPr>
          <w:rFonts w:ascii="Arial" w:cs="Arial" w:eastAsia="Arial" w:hAnsi="Arial"/>
          <w:sz w:val="24"/>
          <w:szCs w:val="24"/>
        </w:rPr>
        <w:t xml:space="preserve">22. Переоформление лицензии осуществляется в течение пяти рабочих дней со дня получения Лицензиаром соответствующего заявления. При переоформлении лицензии, лицензиар вносит соответствующие сведения в Единый государственный реестр лицензий на право осуществления игорной деятельности в Кыргызской Республике.</w:t>
      </w:r>
    </w:p>
    <w:p>
      <w:pPr>
        <w:spacing w:after="200" w:before="200"/>
        <w:jc w:val="center"/>
      </w:pPr>
      <w:r>
        <w:rPr>
          <w:rFonts w:ascii="Arial" w:cs="Arial" w:eastAsia="Arial" w:hAnsi="Arial"/>
          <w:b/>
          <w:bCs/>
          <w:sz w:val="24"/>
          <w:szCs w:val="24"/>
        </w:rPr>
        <w:t xml:space="preserve">8. Реестры лицензий на право осуществления игорной деятельности в Кыргызской Республике</w:t>
      </w:r>
    </w:p>
    <w:p>
      <w:pPr>
        <w:spacing w:after="60"/>
        <w:ind w:firstLine="567"/>
        <w:jc w:val="both"/>
      </w:pPr>
      <w:r>
        <w:rPr>
          <w:rFonts w:ascii="Arial" w:cs="Arial" w:eastAsia="Arial" w:hAnsi="Arial"/>
          <w:sz w:val="24"/>
          <w:szCs w:val="24"/>
        </w:rPr>
        <w:t xml:space="preserve">23. Реестры лицензий на право осуществления игорной деятельности в Кыргызской Республике (далее - реестры) являются единственным официальным источником, подтверждающим наличие выданных лицензий, а также их правовой статус.</w:t>
      </w:r>
    </w:p>
    <w:p>
      <w:pPr>
        <w:spacing w:after="60"/>
        <w:ind w:firstLine="567"/>
        <w:jc w:val="both"/>
      </w:pPr>
      <w:r>
        <w:rPr>
          <w:rFonts w:ascii="Arial" w:cs="Arial" w:eastAsia="Arial" w:hAnsi="Arial"/>
          <w:sz w:val="24"/>
          <w:szCs w:val="24"/>
        </w:rPr>
        <w:t xml:space="preserve">24. Финнадзор ведет реестр по видам деятельности, лицензирование которых он осуществляет на бумажном носителе и в электронном формате. Реестр подлежит обязательному размещению на официальном сайте лицензиара и является открытым и доступным для ознакомления заинтересованных лиц со сведениями, содержащимися в нем, за исключением сведений, доступ к которым ограничен законодательством Кыргызской Республики. В реестре указываются следующие сведения:</w:t>
      </w:r>
    </w:p>
    <w:p>
      <w:pPr>
        <w:spacing w:after="60"/>
        <w:ind w:firstLine="567"/>
        <w:jc w:val="both"/>
      </w:pPr>
      <w:r>
        <w:rPr>
          <w:rFonts w:ascii="Arial" w:cs="Arial" w:eastAsia="Arial" w:hAnsi="Arial"/>
          <w:sz w:val="24"/>
          <w:szCs w:val="24"/>
        </w:rPr>
        <w:t xml:space="preserve">1) полное и сокращенное фирменное наименования, и организационно-правовая форма юридического лица, юридический адрес;</w:t>
      </w:r>
    </w:p>
    <w:p>
      <w:pPr>
        <w:spacing w:after="60"/>
        <w:ind w:firstLine="567"/>
        <w:jc w:val="both"/>
      </w:pPr>
      <w:r>
        <w:rPr>
          <w:rFonts w:ascii="Arial" w:cs="Arial" w:eastAsia="Arial" w:hAnsi="Arial"/>
          <w:sz w:val="24"/>
          <w:szCs w:val="24"/>
        </w:rPr>
        <w:t xml:space="preserve">2) лицензируемый вид деятельности;</w:t>
      </w:r>
    </w:p>
    <w:p>
      <w:pPr>
        <w:spacing w:after="60"/>
        <w:ind w:firstLine="567"/>
        <w:jc w:val="both"/>
      </w:pPr>
      <w:r>
        <w:rPr>
          <w:rFonts w:ascii="Arial" w:cs="Arial" w:eastAsia="Arial" w:hAnsi="Arial"/>
          <w:sz w:val="24"/>
          <w:szCs w:val="24"/>
        </w:rPr>
        <w:t xml:space="preserve">3) территория осуществления деятельности;</w:t>
      </w:r>
    </w:p>
    <w:p>
      <w:pPr>
        <w:spacing w:after="60"/>
        <w:ind w:firstLine="567"/>
        <w:jc w:val="both"/>
      </w:pPr>
      <w:r>
        <w:rPr>
          <w:rFonts w:ascii="Arial" w:cs="Arial" w:eastAsia="Arial" w:hAnsi="Arial"/>
          <w:sz w:val="24"/>
          <w:szCs w:val="24"/>
        </w:rPr>
        <w:t xml:space="preserve">4) дата выдачи и регистрационный номер лицензии;</w:t>
      </w:r>
    </w:p>
    <w:p>
      <w:pPr>
        <w:spacing w:after="60"/>
        <w:ind w:firstLine="567"/>
        <w:jc w:val="both"/>
      </w:pPr>
      <w:r>
        <w:rPr>
          <w:rFonts w:ascii="Arial" w:cs="Arial" w:eastAsia="Arial" w:hAnsi="Arial"/>
          <w:sz w:val="24"/>
          <w:szCs w:val="24"/>
        </w:rPr>
        <w:t xml:space="preserve">5) основание и срок приостановления и возобновления действия лицензии;</w:t>
      </w:r>
    </w:p>
    <w:p>
      <w:pPr>
        <w:spacing w:after="60"/>
        <w:ind w:firstLine="567"/>
        <w:jc w:val="both"/>
      </w:pPr>
      <w:r>
        <w:rPr>
          <w:rFonts w:ascii="Arial" w:cs="Arial" w:eastAsia="Arial" w:hAnsi="Arial"/>
          <w:sz w:val="24"/>
          <w:szCs w:val="24"/>
        </w:rPr>
        <w:t xml:space="preserve">6) основание и дата прекращения лицензии. </w:t>
      </w:r>
    </w:p>
    <w:p>
      <w:pPr>
        <w:spacing w:after="60"/>
        <w:ind w:firstLine="567"/>
        <w:jc w:val="both"/>
      </w:pPr>
      <w:r>
        <w:rPr>
          <w:rFonts w:ascii="Arial" w:cs="Arial" w:eastAsia="Arial" w:hAnsi="Arial"/>
          <w:i/>
          <w:iCs/>
          <w:sz w:val="24"/>
          <w:szCs w:val="24"/>
        </w:rPr>
        <w:t xml:space="preserve">(В редакции </w:t>
      </w:r>
      <w:hyperlink w:history="1" r:id="rId_aknbxydu63azbu3an80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200" w:before="200"/>
        <w:jc w:val="center"/>
      </w:pPr>
      <w:r>
        <w:rPr>
          <w:rFonts w:ascii="Arial" w:cs="Arial" w:eastAsia="Arial" w:hAnsi="Arial"/>
          <w:b/>
          <w:bCs/>
          <w:sz w:val="24"/>
          <w:szCs w:val="24"/>
        </w:rPr>
        <w:t xml:space="preserve">9. Полномочия лицензиара</w:t>
      </w:r>
    </w:p>
    <w:p>
      <w:pPr>
        <w:spacing w:after="200" w:before="200"/>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в</w:t>
      </w:r>
      <w:r>
        <w:rPr>
          <w:rFonts w:ascii="Arial" w:cs="Arial" w:eastAsia="Arial" w:hAnsi="Arial"/>
          <w:i/>
          <w:iCs/>
          <w:sz w:val="24"/>
          <w:szCs w:val="24"/>
        </w:rPr>
        <w:t xml:space="preserve"> редакции </w:t>
      </w:r>
      <w:hyperlink w:history="1" r:id="rIdyjcrjnu5b-hvztcj7_ua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60"/>
        <w:ind w:firstLine="567"/>
        <w:jc w:val="both"/>
      </w:pPr>
      <w:r>
        <w:rPr>
          <w:rFonts w:ascii="Arial" w:cs="Arial" w:eastAsia="Arial" w:hAnsi="Arial"/>
          <w:sz w:val="24"/>
          <w:szCs w:val="24"/>
        </w:rPr>
        <w:t xml:space="preserve">25. Лицензиар осуществляет следующие полномочия:</w:t>
      </w:r>
    </w:p>
    <w:p>
      <w:pPr>
        <w:spacing w:after="60"/>
        <w:ind w:firstLine="567"/>
        <w:jc w:val="both"/>
      </w:pPr>
      <w:r>
        <w:rPr>
          <w:rFonts w:ascii="Arial" w:cs="Arial" w:eastAsia="Arial" w:hAnsi="Arial"/>
          <w:sz w:val="24"/>
          <w:szCs w:val="24"/>
        </w:rPr>
        <w:t xml:space="preserve">- выдача лицензий;</w:t>
      </w:r>
    </w:p>
    <w:p>
      <w:pPr>
        <w:spacing w:after="60"/>
        <w:ind w:firstLine="567"/>
        <w:jc w:val="both"/>
      </w:pPr>
      <w:r>
        <w:rPr>
          <w:rFonts w:ascii="Arial" w:cs="Arial" w:eastAsia="Arial" w:hAnsi="Arial"/>
          <w:sz w:val="24"/>
          <w:szCs w:val="24"/>
        </w:rPr>
        <w:t xml:space="preserve">- выдача дубликатов лицензий;</w:t>
      </w:r>
    </w:p>
    <w:p>
      <w:pPr>
        <w:spacing w:after="60"/>
        <w:ind w:firstLine="567"/>
        <w:jc w:val="both"/>
      </w:pPr>
      <w:r>
        <w:rPr>
          <w:rFonts w:ascii="Arial" w:cs="Arial" w:eastAsia="Arial" w:hAnsi="Arial"/>
          <w:sz w:val="24"/>
          <w:szCs w:val="24"/>
        </w:rPr>
        <w:t xml:space="preserve">- переоформление лицензий;</w:t>
      </w:r>
    </w:p>
    <w:p>
      <w:pPr>
        <w:spacing w:after="60"/>
        <w:ind w:firstLine="567"/>
        <w:jc w:val="both"/>
      </w:pPr>
      <w:r>
        <w:rPr>
          <w:rFonts w:ascii="Arial" w:cs="Arial" w:eastAsia="Arial" w:hAnsi="Arial"/>
          <w:sz w:val="24"/>
          <w:szCs w:val="24"/>
        </w:rPr>
        <w:t xml:space="preserve">- лицензионный контроль за соблюдением лицензиатами лицензионных требований;</w:t>
      </w:r>
    </w:p>
    <w:p>
      <w:pPr>
        <w:spacing w:after="60"/>
        <w:ind w:firstLine="567"/>
        <w:jc w:val="both"/>
      </w:pPr>
      <w:r>
        <w:rPr>
          <w:rFonts w:ascii="Arial" w:cs="Arial" w:eastAsia="Arial" w:hAnsi="Arial"/>
          <w:sz w:val="24"/>
          <w:szCs w:val="24"/>
        </w:rPr>
        <w:t xml:space="preserve">- приостановление действия лицензий;</w:t>
      </w:r>
    </w:p>
    <w:p>
      <w:pPr>
        <w:spacing w:after="60"/>
        <w:ind w:firstLine="567"/>
        <w:jc w:val="both"/>
      </w:pPr>
      <w:r>
        <w:rPr>
          <w:rFonts w:ascii="Arial" w:cs="Arial" w:eastAsia="Arial" w:hAnsi="Arial"/>
          <w:sz w:val="24"/>
          <w:szCs w:val="24"/>
        </w:rPr>
        <w:t xml:space="preserve">- возобновление действия лицензий;</w:t>
      </w:r>
    </w:p>
    <w:p>
      <w:pPr>
        <w:spacing w:after="60"/>
        <w:ind w:firstLine="567"/>
        <w:jc w:val="both"/>
      </w:pPr>
      <w:r>
        <w:rPr>
          <w:rFonts w:ascii="Arial" w:cs="Arial" w:eastAsia="Arial" w:hAnsi="Arial"/>
          <w:sz w:val="24"/>
          <w:szCs w:val="24"/>
        </w:rPr>
        <w:t xml:space="preserve">- прекращение действия лицензий;</w:t>
      </w:r>
    </w:p>
    <w:p>
      <w:pPr>
        <w:spacing w:after="60"/>
        <w:ind w:firstLine="567"/>
        <w:jc w:val="both"/>
      </w:pPr>
      <w:r>
        <w:rPr>
          <w:rFonts w:ascii="Arial" w:cs="Arial" w:eastAsia="Arial" w:hAnsi="Arial"/>
          <w:sz w:val="24"/>
          <w:szCs w:val="24"/>
        </w:rPr>
        <w:t xml:space="preserve">-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 отказ в выдаче лицензий;</w:t>
      </w:r>
    </w:p>
    <w:p>
      <w:pPr>
        <w:spacing w:after="60"/>
        <w:ind w:firstLine="567"/>
        <w:jc w:val="both"/>
      </w:pPr>
      <w:r>
        <w:rPr>
          <w:rFonts w:ascii="Arial" w:cs="Arial" w:eastAsia="Arial" w:hAnsi="Arial"/>
          <w:sz w:val="24"/>
          <w:szCs w:val="24"/>
        </w:rPr>
        <w:t xml:space="preserve">- формирование и ведение реестров. </w:t>
      </w:r>
    </w:p>
    <w:p>
      <w:pPr>
        <w:spacing w:after="60"/>
        <w:ind w:firstLine="567"/>
        <w:jc w:val="both"/>
      </w:pPr>
      <w:r>
        <w:rPr>
          <w:rFonts w:ascii="Arial" w:cs="Arial" w:eastAsia="Arial" w:hAnsi="Arial"/>
          <w:i/>
          <w:iCs/>
          <w:sz w:val="24"/>
          <w:szCs w:val="24"/>
        </w:rPr>
        <w:t xml:space="preserve">(В редакции </w:t>
      </w:r>
      <w:hyperlink w:history="1" r:id="rIdzix4ijzn31-xzhakcpek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60"/>
        <w:ind w:firstLine="567"/>
        <w:jc w:val="both"/>
      </w:pPr>
      <w:r>
        <w:rPr>
          <w:rFonts w:ascii="Arial" w:cs="Arial" w:eastAsia="Arial" w:hAnsi="Arial"/>
          <w:sz w:val="24"/>
          <w:szCs w:val="24"/>
        </w:rPr>
        <w:t xml:space="preserve">26. Контроль за соблюдением лицензиатом лицензионных требований осуществляется лицензиаром в пределах своих полномочий. Лицензиар в пределах своих полномочий имеет право:</w:t>
      </w:r>
    </w:p>
    <w:p>
      <w:pPr>
        <w:spacing w:after="60"/>
        <w:ind w:firstLine="567"/>
        <w:jc w:val="both"/>
      </w:pPr>
      <w:r>
        <w:rPr>
          <w:rFonts w:ascii="Arial" w:cs="Arial" w:eastAsia="Arial" w:hAnsi="Arial"/>
          <w:sz w:val="24"/>
          <w:szCs w:val="24"/>
        </w:rPr>
        <w:t xml:space="preserve">- проводить проверки деятельности лицензиата на предмет соответствия осуществляемой лицензиатом деятельности лицензионным требованиям в форме лицензионного контроля. Проверки осуществляются в соответствии с настоящим Положением;</w:t>
      </w:r>
    </w:p>
    <w:p>
      <w:pPr>
        <w:spacing w:after="60"/>
        <w:ind w:firstLine="567"/>
        <w:jc w:val="both"/>
      </w:pPr>
      <w:r>
        <w:rPr>
          <w:rFonts w:ascii="Arial" w:cs="Arial" w:eastAsia="Arial" w:hAnsi="Arial"/>
          <w:sz w:val="24"/>
          <w:szCs w:val="24"/>
        </w:rPr>
        <w:t xml:space="preserve">- запрашивать и получать от лицензиата необходимые объяснения по вопросам, возникающим при проведении лицензионного контроля;</w:t>
      </w:r>
    </w:p>
    <w:p>
      <w:pPr>
        <w:spacing w:after="60"/>
        <w:ind w:firstLine="567"/>
        <w:jc w:val="both"/>
      </w:pPr>
      <w:r>
        <w:rPr>
          <w:rFonts w:ascii="Arial" w:cs="Arial" w:eastAsia="Arial" w:hAnsi="Arial"/>
          <w:sz w:val="24"/>
          <w:szCs w:val="24"/>
        </w:rPr>
        <w:t xml:space="preserve">- составлять на основании результатов проверок акт лицензионного контроля, с указанием конкретных нарушений;</w:t>
      </w:r>
    </w:p>
    <w:p>
      <w:pPr>
        <w:spacing w:after="60"/>
        <w:ind w:firstLine="567"/>
        <w:jc w:val="both"/>
      </w:pPr>
      <w:r>
        <w:rPr>
          <w:rFonts w:ascii="Arial" w:cs="Arial" w:eastAsia="Arial" w:hAnsi="Arial"/>
          <w:sz w:val="24"/>
          <w:szCs w:val="24"/>
        </w:rPr>
        <w:t xml:space="preserve">- выносить решения, обязывающие лицензиата устранить выявленные нарушения, устанавливать сроки устранения таких нарушений;</w:t>
      </w:r>
    </w:p>
    <w:p>
      <w:pPr>
        <w:spacing w:after="60"/>
        <w:ind w:firstLine="567"/>
        <w:jc w:val="both"/>
      </w:pPr>
      <w:r>
        <w:rPr>
          <w:rFonts w:ascii="Arial" w:cs="Arial" w:eastAsia="Arial" w:hAnsi="Arial"/>
          <w:sz w:val="24"/>
          <w:szCs w:val="24"/>
        </w:rPr>
        <w:t xml:space="preserve">- применять к лицензиату меры воздействия в виде предупреждения, штрафа, приостановления действия лицензии, подачи искового заявления в судебные органы для рассмотрения вопроса об аннулировании лицензии. </w:t>
      </w:r>
    </w:p>
    <w:p>
      <w:pPr>
        <w:spacing w:after="60"/>
        <w:ind w:firstLine="567"/>
        <w:jc w:val="both"/>
      </w:pPr>
      <w:r>
        <w:rPr>
          <w:rFonts w:ascii="Arial" w:cs="Arial" w:eastAsia="Arial" w:hAnsi="Arial"/>
          <w:i/>
          <w:iCs/>
          <w:sz w:val="24"/>
          <w:szCs w:val="24"/>
        </w:rPr>
        <w:t xml:space="preserve">(В редакции </w:t>
      </w:r>
      <w:hyperlink w:history="1" r:id="rIdydpgpa_mc-hp9rp3u_co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200" w:before="200"/>
        <w:jc w:val="center"/>
      </w:pPr>
      <w:r>
        <w:rPr>
          <w:rFonts w:ascii="Arial" w:cs="Arial" w:eastAsia="Arial" w:hAnsi="Arial"/>
          <w:b/>
          <w:bCs/>
          <w:sz w:val="24"/>
          <w:szCs w:val="24"/>
        </w:rPr>
        <w:t xml:space="preserve">10. Лицензионные требования к субъектам игорной деятельности</w:t>
      </w:r>
    </w:p>
    <w:p>
      <w:pPr>
        <w:spacing w:after="60"/>
        <w:ind w:firstLine="567"/>
        <w:jc w:val="both"/>
      </w:pPr>
      <w:r>
        <w:rPr>
          <w:rFonts w:ascii="Arial" w:cs="Arial" w:eastAsia="Arial" w:hAnsi="Arial"/>
          <w:sz w:val="24"/>
          <w:szCs w:val="24"/>
        </w:rPr>
        <w:t xml:space="preserve">27. Лицензионные требования к юридическим лицам:</w:t>
      </w:r>
    </w:p>
    <w:p>
      <w:pPr>
        <w:spacing w:after="60"/>
        <w:ind w:firstLine="567"/>
        <w:jc w:val="both"/>
      </w:pPr>
      <w:r>
        <w:rPr>
          <w:rFonts w:ascii="Arial" w:cs="Arial" w:eastAsia="Arial" w:hAnsi="Arial"/>
          <w:sz w:val="24"/>
          <w:szCs w:val="24"/>
        </w:rPr>
        <w:t xml:space="preserve">1) соответствие финансовых показателей требованиям нормативных правовых актов Кыргызской Республики, предъявляемым к достаточности резервного фонда;</w:t>
      </w:r>
    </w:p>
    <w:p>
      <w:pPr>
        <w:spacing w:after="60"/>
        <w:ind w:firstLine="567"/>
        <w:jc w:val="both"/>
      </w:pPr>
      <w:r>
        <w:rPr>
          <w:rFonts w:ascii="Arial" w:cs="Arial" w:eastAsia="Arial" w:hAnsi="Arial"/>
          <w:sz w:val="24"/>
          <w:szCs w:val="24"/>
        </w:rPr>
        <w:t xml:space="preserve">2) обязательства по соблюдению требований Налогового </w:t>
      </w:r>
      <w:hyperlink w:history="1" r:id="rId0ceukmvuefj3ixf7ldkn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законов Кыргызской Республики "</w:t>
      </w:r>
      <w:hyperlink w:history="1" r:id="rId0m9yroxhcuulbju-m_pc3">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m8ysm0yv422qik8jy9gy4">
        <w:r>
          <w:rPr>
            <w:rFonts w:ascii="Arial" w:cs="Arial" w:eastAsia="Arial" w:hAnsi="Arial"/>
            <w:color w:val="1D4ED8"/>
            <w:sz w:val="24"/>
            <w:szCs w:val="24"/>
            <w:u w:val="single"/>
          </w:rPr>
          <w:t xml:space="preserve">Об игорной деятельности в Кыргызской Республике</w:t>
        </w:r>
      </w:hyperlink>
      <w:r>
        <w:rPr>
          <w:rFonts w:ascii="Arial" w:cs="Arial" w:eastAsia="Arial" w:hAnsi="Arial"/>
          <w:sz w:val="24"/>
          <w:szCs w:val="24"/>
        </w:rPr>
        <w:t xml:space="preserve">", "</w:t>
      </w:r>
      <w:hyperlink w:history="1" r:id="rIdsdd5xwot_5fw6rykspkuh">
        <w:r>
          <w:rPr>
            <w:rFonts w:ascii="Arial" w:cs="Arial" w:eastAsia="Arial" w:hAnsi="Arial"/>
            <w:color w:val="1D4ED8"/>
            <w:sz w:val="24"/>
            <w:szCs w:val="24"/>
            <w:u w:val="single"/>
          </w:rPr>
          <w:t xml:space="preserve">О противодействии финансированию террористической деятельности и легализации (отмыванию) преступных доходов</w:t>
        </w:r>
      </w:hyperlink>
      <w:r>
        <w:rPr>
          <w:rFonts w:ascii="Arial" w:cs="Arial" w:eastAsia="Arial" w:hAnsi="Arial"/>
          <w:sz w:val="24"/>
          <w:szCs w:val="24"/>
        </w:rPr>
        <w:t xml:space="preserve">", "</w:t>
      </w:r>
      <w:hyperlink w:history="1" r:id="rIdhztelslgsd_jru8egejq7">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w:t>
      </w:r>
      <w:hyperlink w:history="1" r:id="rIdm0yb373zj_6dmftswxyil">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а также иные решения Кабинета Министров Кыргызской Республики о регулировании игорной деятельности и предоставлении отчетности субъектами игорной деятельности.</w:t>
      </w:r>
    </w:p>
    <w:p>
      <w:pPr>
        <w:spacing w:after="60"/>
        <w:ind w:firstLine="567"/>
        <w:jc w:val="both"/>
      </w:pPr>
      <w:r>
        <w:rPr>
          <w:rFonts w:ascii="Arial" w:cs="Arial" w:eastAsia="Arial" w:hAnsi="Arial"/>
          <w:sz w:val="24"/>
          <w:szCs w:val="24"/>
        </w:rPr>
        <w:t xml:space="preserve">28. Требования к должностным лицам субъекта игорной деятельности являются:</w:t>
      </w:r>
    </w:p>
    <w:p>
      <w:pPr>
        <w:spacing w:after="60"/>
        <w:ind w:firstLine="567"/>
        <w:jc w:val="both"/>
      </w:pPr>
      <w:r>
        <w:rPr>
          <w:rFonts w:ascii="Arial" w:cs="Arial" w:eastAsia="Arial" w:hAnsi="Arial"/>
          <w:sz w:val="24"/>
          <w:szCs w:val="24"/>
        </w:rPr>
        <w:t xml:space="preserve">1) наличие высшего профессионального образования (бакалавр, магистр, специалист);</w:t>
      </w:r>
    </w:p>
    <w:p>
      <w:pPr>
        <w:spacing w:after="60"/>
        <w:ind w:firstLine="567"/>
        <w:jc w:val="both"/>
      </w:pPr>
      <w:r>
        <w:rPr>
          <w:rFonts w:ascii="Arial" w:cs="Arial" w:eastAsia="Arial" w:hAnsi="Arial"/>
          <w:sz w:val="24"/>
          <w:szCs w:val="24"/>
        </w:rPr>
        <w:t xml:space="preserve">2) отсутствие судимости либо погашенная в установленном порядке судимость;</w:t>
      </w:r>
    </w:p>
    <w:p>
      <w:pPr>
        <w:spacing w:after="60"/>
        <w:ind w:firstLine="567"/>
        <w:jc w:val="both"/>
      </w:pPr>
      <w:r>
        <w:rPr>
          <w:rFonts w:ascii="Arial" w:cs="Arial" w:eastAsia="Arial" w:hAnsi="Arial"/>
          <w:sz w:val="24"/>
          <w:szCs w:val="24"/>
        </w:rPr>
        <w:t xml:space="preserve">3) наличие общего стажа трудовой деятельности не менее 5 лет.</w:t>
      </w:r>
    </w:p>
    <w:p>
      <w:pPr>
        <w:spacing w:after="60"/>
        <w:ind w:firstLine="567"/>
        <w:jc w:val="both"/>
      </w:pPr>
      <w:r>
        <w:rPr>
          <w:rFonts w:ascii="Arial" w:cs="Arial" w:eastAsia="Arial" w:hAnsi="Arial"/>
          <w:sz w:val="24"/>
          <w:szCs w:val="24"/>
        </w:rPr>
        <w:t xml:space="preserve">29. К главному бухгалтеру (бухгалтеру при отсутствии в штате должности главного бухгалтера):</w:t>
      </w:r>
    </w:p>
    <w:p>
      <w:pPr>
        <w:spacing w:after="60"/>
        <w:ind w:firstLine="567"/>
        <w:jc w:val="both"/>
      </w:pPr>
      <w:r>
        <w:rPr>
          <w:rFonts w:ascii="Arial" w:cs="Arial" w:eastAsia="Arial" w:hAnsi="Arial"/>
          <w:sz w:val="24"/>
          <w:szCs w:val="24"/>
        </w:rPr>
        <w:t xml:space="preserve">1) наличие специальной подготовки по вопросам бухгалтерского учета в организациях;</w:t>
      </w:r>
    </w:p>
    <w:p>
      <w:pPr>
        <w:spacing w:after="60"/>
        <w:ind w:firstLine="567"/>
        <w:jc w:val="both"/>
      </w:pPr>
      <w:r>
        <w:rPr>
          <w:rFonts w:ascii="Arial" w:cs="Arial" w:eastAsia="Arial" w:hAnsi="Arial"/>
          <w:sz w:val="24"/>
          <w:szCs w:val="24"/>
        </w:rPr>
        <w:t xml:space="preserve">2) отсутствие судимости либо погашенная в установленном порядке судимость;</w:t>
      </w:r>
    </w:p>
    <w:p>
      <w:pPr>
        <w:spacing w:after="60"/>
        <w:ind w:firstLine="567"/>
        <w:jc w:val="both"/>
      </w:pPr>
      <w:r>
        <w:rPr>
          <w:rFonts w:ascii="Arial" w:cs="Arial" w:eastAsia="Arial" w:hAnsi="Arial"/>
          <w:sz w:val="24"/>
          <w:szCs w:val="24"/>
        </w:rPr>
        <w:t xml:space="preserve">3) наличие стажа работы в должности бухгалтера не менее двух лет.</w:t>
      </w:r>
    </w:p>
    <w:p>
      <w:pPr>
        <w:spacing w:after="60"/>
        <w:ind w:firstLine="567"/>
        <w:jc w:val="both"/>
      </w:pPr>
      <w:r>
        <w:rPr>
          <w:rFonts w:ascii="Arial" w:cs="Arial" w:eastAsia="Arial" w:hAnsi="Arial"/>
          <w:sz w:val="24"/>
          <w:szCs w:val="24"/>
        </w:rPr>
        <w:t xml:space="preserve">30. Должностными лицами субъекта игорной деятельности являются члены органов управления и контроля.</w:t>
      </w:r>
    </w:p>
    <w:p>
      <w:pPr>
        <w:spacing w:after="60"/>
        <w:ind w:firstLine="567"/>
        <w:jc w:val="both"/>
      </w:pPr>
      <w:r>
        <w:rPr>
          <w:rFonts w:ascii="Arial" w:cs="Arial" w:eastAsia="Arial" w:hAnsi="Arial"/>
          <w:sz w:val="24"/>
          <w:szCs w:val="24"/>
        </w:rPr>
        <w:t xml:space="preserve">31. Лицензиат несет ответственность в соответствии с законодательством Кыргызской Республики за достоверность информации и документов, предоставленных для получения лицензии.</w:t>
      </w:r>
    </w:p>
    <w:p>
      <w:pPr>
        <w:spacing w:after="200" w:before="200"/>
        <w:jc w:val="center"/>
      </w:pPr>
      <w:r>
        <w:rPr>
          <w:rFonts w:ascii="Arial" w:cs="Arial" w:eastAsia="Arial" w:hAnsi="Arial"/>
          <w:b/>
          <w:bCs/>
          <w:sz w:val="24"/>
          <w:szCs w:val="24"/>
        </w:rPr>
        <w:t xml:space="preserve">11. Приостановление действия лицензии</w:t>
      </w:r>
    </w:p>
    <w:p>
      <w:pPr>
        <w:spacing w:after="60"/>
        <w:ind w:firstLine="567"/>
        <w:jc w:val="both"/>
      </w:pPr>
      <w:r>
        <w:rPr>
          <w:rFonts w:ascii="Arial" w:cs="Arial" w:eastAsia="Arial" w:hAnsi="Arial"/>
          <w:sz w:val="24"/>
          <w:szCs w:val="24"/>
        </w:rPr>
        <w:t xml:space="preserve">32. Приостановление действия лицензии означает запрет на осуществление игорной деятельности до устранения лицензиатом допущенных нарушений и производится в случае:</w:t>
      </w:r>
    </w:p>
    <w:p>
      <w:pPr>
        <w:spacing w:after="60"/>
        <w:ind w:firstLine="567"/>
        <w:jc w:val="both"/>
      </w:pPr>
      <w:r>
        <w:rPr>
          <w:rFonts w:ascii="Arial" w:cs="Arial" w:eastAsia="Arial" w:hAnsi="Arial"/>
          <w:sz w:val="24"/>
          <w:szCs w:val="24"/>
        </w:rPr>
        <w:t xml:space="preserve">1) допущения трех и более раз в течение одного года нарушений и (или) неисполнения лицензионных требований, установленных законами Кыргызской Республики "</w:t>
      </w:r>
      <w:hyperlink w:history="1" r:id="rIdigslfekupvshjwrqg9eia">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aa5bw_nbxkg20ch2axckf">
        <w:r>
          <w:rPr>
            <w:rFonts w:ascii="Arial" w:cs="Arial" w:eastAsia="Arial" w:hAnsi="Arial"/>
            <w:color w:val="1D4ED8"/>
            <w:sz w:val="24"/>
            <w:szCs w:val="24"/>
            <w:u w:val="single"/>
          </w:rPr>
          <w:t xml:space="preserve">Об игорной деятельности в Кыргызской Республике</w:t>
        </w:r>
      </w:hyperlink>
      <w:r>
        <w:rPr>
          <w:rFonts w:ascii="Arial" w:cs="Arial" w:eastAsia="Arial" w:hAnsi="Arial"/>
          <w:sz w:val="24"/>
          <w:szCs w:val="24"/>
        </w:rPr>
        <w:t xml:space="preserve">", "</w:t>
      </w:r>
      <w:hyperlink w:history="1" r:id="rIdenh3s-33u88djn6pfwxlf">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w:t>
      </w:r>
      <w:hyperlink w:history="1" r:id="rIdv6qb5mz4sixjxd_gojwx2">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w:t>
      </w:r>
      <w:hyperlink w:history="1" r:id="rIdfaiktx2pzgxtlwcj6ehkl">
        <w:r>
          <w:rPr>
            <w:rFonts w:ascii="Arial" w:cs="Arial" w:eastAsia="Arial" w:hAnsi="Arial"/>
            <w:color w:val="1D4ED8"/>
            <w:sz w:val="24"/>
            <w:szCs w:val="24"/>
            <w:u w:val="single"/>
          </w:rPr>
          <w:t xml:space="preserve">О противодействии финансированию террористической деятельности и легализации (отмыванию) преступных доходов</w:t>
        </w:r>
      </w:hyperlink>
      <w:r>
        <w:rPr>
          <w:rFonts w:ascii="Arial" w:cs="Arial" w:eastAsia="Arial" w:hAnsi="Arial"/>
          <w:sz w:val="24"/>
          <w:szCs w:val="24"/>
        </w:rPr>
        <w:t xml:space="preserve">", нормативными правовыми актами Кабинета Министров Кыргызской Республики о регулировании игорной деятельности и предоставлении отчетности субъектами игорной деятельности;</w:t>
      </w:r>
    </w:p>
    <w:p>
      <w:pPr>
        <w:spacing w:after="60"/>
        <w:ind w:firstLine="567"/>
        <w:jc w:val="both"/>
      </w:pPr>
      <w:r>
        <w:rPr>
          <w:rFonts w:ascii="Arial" w:cs="Arial" w:eastAsia="Arial" w:hAnsi="Arial"/>
          <w:sz w:val="24"/>
          <w:szCs w:val="24"/>
        </w:rPr>
        <w:t xml:space="preserve">2) неустранения лицензиатом в установленные сроки нарушений лицензионных требований, указанных в письменном предписании лицензиара;</w:t>
      </w:r>
    </w:p>
    <w:p>
      <w:pPr>
        <w:spacing w:after="60"/>
        <w:ind w:firstLine="567"/>
        <w:jc w:val="both"/>
      </w:pPr>
      <w:r>
        <w:rPr>
          <w:rFonts w:ascii="Arial" w:cs="Arial" w:eastAsia="Arial" w:hAnsi="Arial"/>
          <w:sz w:val="24"/>
          <w:szCs w:val="24"/>
        </w:rPr>
        <w:t xml:space="preserve">3) выявления фактов представления лицензиатом документов с недостоверными сведениями.</w:t>
      </w:r>
    </w:p>
    <w:p>
      <w:pPr>
        <w:spacing w:after="60"/>
        <w:ind w:firstLine="567"/>
        <w:jc w:val="both"/>
      </w:pPr>
      <w:r>
        <w:rPr>
          <w:rFonts w:ascii="Arial" w:cs="Arial" w:eastAsia="Arial" w:hAnsi="Arial"/>
          <w:sz w:val="24"/>
          <w:szCs w:val="24"/>
        </w:rPr>
        <w:t xml:space="preserve">33. Лицензиар вправе приостановить действие лицензии на срок до трех месяцев. Лицензиар в течение трех рабочих дней с момента принятия решения информирует об этом лицензиата в письменной форме с указанием срока, на который приостановлено действие лицензии.</w:t>
      </w:r>
    </w:p>
    <w:p>
      <w:pPr>
        <w:spacing w:after="60"/>
        <w:ind w:firstLine="567"/>
        <w:jc w:val="both"/>
      </w:pPr>
      <w:r>
        <w:rPr>
          <w:rFonts w:ascii="Arial" w:cs="Arial" w:eastAsia="Arial" w:hAnsi="Arial"/>
          <w:sz w:val="24"/>
          <w:szCs w:val="24"/>
        </w:rPr>
        <w:t xml:space="preserve">34. Лицензиат обязан устранить нарушение, повлекшее приостановление лицензии.</w:t>
      </w:r>
    </w:p>
    <w:p>
      <w:pPr>
        <w:spacing w:after="60"/>
        <w:ind w:firstLine="567"/>
        <w:jc w:val="both"/>
      </w:pPr>
      <w:r>
        <w:rPr>
          <w:rFonts w:ascii="Arial" w:cs="Arial" w:eastAsia="Arial" w:hAnsi="Arial"/>
          <w:sz w:val="24"/>
          <w:szCs w:val="24"/>
        </w:rPr>
        <w:t xml:space="preserve">35. Возобновление действия лицензии осуществляется лицензиаром при документальном подтверждении лицензиатом устранения в срок причин, повлекших приостановление действия лицензии.</w:t>
      </w:r>
    </w:p>
    <w:p>
      <w:pPr>
        <w:spacing w:after="200" w:before="200"/>
        <w:jc w:val="center"/>
      </w:pPr>
      <w:r>
        <w:rPr>
          <w:rFonts w:ascii="Arial" w:cs="Arial" w:eastAsia="Arial" w:hAnsi="Arial"/>
          <w:b/>
          <w:bCs/>
          <w:sz w:val="24"/>
          <w:szCs w:val="24"/>
        </w:rPr>
        <w:t xml:space="preserve">12. Возобновление действия лицензии</w:t>
      </w:r>
    </w:p>
    <w:p>
      <w:pPr>
        <w:spacing w:after="60"/>
        <w:ind w:firstLine="567"/>
        <w:jc w:val="both"/>
      </w:pPr>
      <w:r>
        <w:rPr>
          <w:rFonts w:ascii="Arial" w:cs="Arial" w:eastAsia="Arial" w:hAnsi="Arial"/>
          <w:sz w:val="24"/>
          <w:szCs w:val="24"/>
        </w:rPr>
        <w:t xml:space="preserve">36. Действие лицензии возобновляется лицензиаром со дня, следующего за днем истечения срока, на который было приостановлено действие лицензии, при условии устранения лицензиатом нарушений лицензионных требований либо до истечения установленного срока, на который было приостановлено действие лицензии, в случае досрочного устранения нарушений лицензионных требований лицензиатом.</w:t>
      </w:r>
    </w:p>
    <w:p>
      <w:pPr>
        <w:spacing w:after="60"/>
        <w:ind w:firstLine="567"/>
        <w:jc w:val="both"/>
      </w:pPr>
      <w:r>
        <w:rPr>
          <w:rFonts w:ascii="Arial" w:cs="Arial" w:eastAsia="Arial" w:hAnsi="Arial"/>
          <w:sz w:val="24"/>
          <w:szCs w:val="24"/>
        </w:rPr>
        <w:t xml:space="preserve">37. В случае досрочного устранения выявленных нарушений лицензионных требований лицензиат уведомляет лицензиара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38. Лицензиар проводит лицензионную проверку устранения выявленных нарушений в тридцатидневный срок либо не позднее пяти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либо об отказе в его возобновлении с соответствующим обоснованием, и вносит соответствующие сведения в реестры.</w:t>
      </w:r>
    </w:p>
    <w:p>
      <w:pPr>
        <w:spacing w:after="60"/>
        <w:ind w:firstLine="567"/>
        <w:jc w:val="both"/>
      </w:pPr>
      <w:r>
        <w:rPr>
          <w:rFonts w:ascii="Arial" w:cs="Arial" w:eastAsia="Arial" w:hAnsi="Arial"/>
          <w:sz w:val="24"/>
          <w:szCs w:val="24"/>
        </w:rPr>
        <w:t xml:space="preserve">39. Лицензии считаются возобновившими свое действие с даты внесения сведений об этом в реестры.</w:t>
      </w:r>
    </w:p>
    <w:p>
      <w:pPr>
        <w:spacing w:after="60"/>
        <w:ind w:firstLine="567"/>
        <w:jc w:val="both"/>
      </w:pPr>
      <w:r>
        <w:rPr>
          <w:rFonts w:ascii="Arial" w:cs="Arial" w:eastAsia="Arial" w:hAnsi="Arial"/>
          <w:sz w:val="24"/>
          <w:szCs w:val="24"/>
        </w:rPr>
        <w:t xml:space="preserve">40. Лицензиат вправе обжаловать решение лицензиара об отказе в возобновлении действия лицензии в соответствии с </w:t>
      </w:r>
      <w:hyperlink w:history="1" r:id="rIdipqbk6trljjecbpjwjwo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13. Порядок отзыва и прекращения действия лицензии на право осуществления игорной деятельности</w:t>
      </w:r>
    </w:p>
    <w:p>
      <w:pPr>
        <w:spacing w:after="60"/>
        <w:ind w:firstLine="567"/>
        <w:jc w:val="both"/>
      </w:pPr>
      <w:r>
        <w:rPr>
          <w:rFonts w:ascii="Arial" w:cs="Arial" w:eastAsia="Arial" w:hAnsi="Arial"/>
          <w:sz w:val="24"/>
          <w:szCs w:val="24"/>
        </w:rPr>
        <w:t xml:space="preserve">41. Лицензия отзывается в случае допуска к участию в азартных играх:</w:t>
      </w:r>
    </w:p>
    <w:p>
      <w:pPr>
        <w:spacing w:after="60"/>
        <w:ind w:firstLine="567"/>
        <w:jc w:val="both"/>
      </w:pPr>
      <w:r>
        <w:rPr>
          <w:rFonts w:ascii="Arial" w:cs="Arial" w:eastAsia="Arial" w:hAnsi="Arial"/>
          <w:sz w:val="24"/>
          <w:szCs w:val="24"/>
        </w:rPr>
        <w:t xml:space="preserve">1) гражданина Кыргызской Республики;</w:t>
      </w:r>
    </w:p>
    <w:p>
      <w:pPr>
        <w:spacing w:after="60"/>
        <w:ind w:firstLine="567"/>
        <w:jc w:val="both"/>
      </w:pPr>
      <w:r>
        <w:rPr>
          <w:rFonts w:ascii="Arial" w:cs="Arial" w:eastAsia="Arial" w:hAnsi="Arial"/>
          <w:sz w:val="24"/>
          <w:szCs w:val="24"/>
        </w:rPr>
        <w:t xml:space="preserve">2) иностранного гражданина, не достигшего 21-летнего возраста;</w:t>
      </w:r>
    </w:p>
    <w:p>
      <w:pPr>
        <w:spacing w:after="60"/>
        <w:ind w:firstLine="567"/>
        <w:jc w:val="both"/>
      </w:pPr>
      <w:r>
        <w:rPr>
          <w:rFonts w:ascii="Arial" w:cs="Arial" w:eastAsia="Arial" w:hAnsi="Arial"/>
          <w:sz w:val="24"/>
          <w:szCs w:val="24"/>
        </w:rPr>
        <w:t xml:space="preserve">3) недееспособного иностранного гражданина.</w:t>
      </w:r>
    </w:p>
    <w:p>
      <w:pPr>
        <w:spacing w:after="60"/>
        <w:ind w:firstLine="567"/>
        <w:jc w:val="both"/>
      </w:pPr>
      <w:r>
        <w:rPr>
          <w:rFonts w:ascii="Arial" w:cs="Arial" w:eastAsia="Arial" w:hAnsi="Arial"/>
          <w:sz w:val="24"/>
          <w:szCs w:val="24"/>
        </w:rPr>
        <w:t xml:space="preserve">42. Лицензия может быть отозвана лицензиаром в следующих случаях:</w:t>
      </w:r>
    </w:p>
    <w:p>
      <w:pPr>
        <w:spacing w:after="60"/>
        <w:ind w:firstLine="567"/>
        <w:jc w:val="both"/>
      </w:pPr>
      <w:r>
        <w:rPr>
          <w:rFonts w:ascii="Arial" w:cs="Arial" w:eastAsia="Arial" w:hAnsi="Arial"/>
          <w:sz w:val="24"/>
          <w:szCs w:val="24"/>
        </w:rPr>
        <w:t xml:space="preserve">1) нарушение требований, установленных настоящим Положением;</w:t>
      </w:r>
    </w:p>
    <w:p>
      <w:pPr>
        <w:spacing w:after="60"/>
        <w:ind w:firstLine="567"/>
        <w:jc w:val="both"/>
      </w:pPr>
      <w:r>
        <w:rPr>
          <w:rFonts w:ascii="Arial" w:cs="Arial" w:eastAsia="Arial" w:hAnsi="Arial"/>
          <w:sz w:val="24"/>
          <w:szCs w:val="24"/>
        </w:rPr>
        <w:t xml:space="preserve">2) неустранение в установленный срок нарушений, в том числе связанных с неуплатой либо несвоевременной уплатой соответствующих налогов, в связи с которыми лицензиар приостановил действие лицензии;</w:t>
      </w:r>
    </w:p>
    <w:p>
      <w:pPr>
        <w:spacing w:after="60"/>
        <w:ind w:firstLine="567"/>
        <w:jc w:val="both"/>
      </w:pPr>
      <w:r>
        <w:rPr>
          <w:rFonts w:ascii="Arial" w:cs="Arial" w:eastAsia="Arial" w:hAnsi="Arial"/>
          <w:sz w:val="24"/>
          <w:szCs w:val="24"/>
        </w:rPr>
        <w:t xml:space="preserve">3) запрещение судом лицензиату заниматься тем видом деятельности, на осуществление которого он обладает лицензией;</w:t>
      </w:r>
    </w:p>
    <w:p>
      <w:pPr>
        <w:spacing w:after="60"/>
        <w:ind w:firstLine="567"/>
        <w:jc w:val="both"/>
      </w:pPr>
      <w:r>
        <w:rPr>
          <w:rFonts w:ascii="Arial" w:cs="Arial" w:eastAsia="Arial" w:hAnsi="Arial"/>
          <w:sz w:val="24"/>
          <w:szCs w:val="24"/>
        </w:rPr>
        <w:t xml:space="preserve">4) непредставление своевременного уведомления об изменении количества игрового оборудования;</w:t>
      </w:r>
    </w:p>
    <w:p>
      <w:pPr>
        <w:spacing w:after="60"/>
        <w:ind w:firstLine="567"/>
        <w:jc w:val="both"/>
      </w:pPr>
      <w:r>
        <w:rPr>
          <w:rFonts w:ascii="Arial" w:cs="Arial" w:eastAsia="Arial" w:hAnsi="Arial"/>
          <w:sz w:val="24"/>
          <w:szCs w:val="24"/>
        </w:rPr>
        <w:t xml:space="preserve">5) неосуществление игорной деятельности более трех месяцев.</w:t>
      </w:r>
    </w:p>
    <w:p>
      <w:pPr>
        <w:spacing w:after="60"/>
        <w:ind w:firstLine="567"/>
        <w:jc w:val="both"/>
      </w:pPr>
      <w:r>
        <w:rPr>
          <w:rFonts w:ascii="Arial" w:cs="Arial" w:eastAsia="Arial" w:hAnsi="Arial"/>
          <w:sz w:val="24"/>
          <w:szCs w:val="24"/>
        </w:rPr>
        <w:t xml:space="preserve">43. При прекращении действия лицензии лицензиар вносит сведения о прекращении действия лицензии в реестр. Лицензия признается прекратившей действие с даты внесения сведений в реестр.</w:t>
      </w:r>
    </w:p>
    <w:p>
      <w:pPr>
        <w:spacing w:after="60"/>
        <w:ind w:firstLine="567"/>
        <w:jc w:val="both"/>
      </w:pPr>
      <w:r>
        <w:rPr>
          <w:rFonts w:ascii="Arial" w:cs="Arial" w:eastAsia="Arial" w:hAnsi="Arial"/>
          <w:sz w:val="24"/>
          <w:szCs w:val="24"/>
        </w:rPr>
        <w:t xml:space="preserve">Лицензия на бумажном носителе, находящаяся у лицензиата, считается недействительной с даты внесения сведений о прекращении действия лицензии в реестр.</w:t>
      </w:r>
    </w:p>
    <w:p>
      <w:pPr>
        <w:spacing w:after="60"/>
        <w:ind w:firstLine="567"/>
        <w:jc w:val="both"/>
      </w:pPr>
      <w:r>
        <w:rPr>
          <w:rFonts w:ascii="Arial" w:cs="Arial" w:eastAsia="Arial" w:hAnsi="Arial"/>
          <w:sz w:val="24"/>
          <w:szCs w:val="24"/>
        </w:rPr>
        <w:t xml:space="preserve">44. Основаниями для прекращения действия лицензии являются:</w:t>
      </w:r>
    </w:p>
    <w:p>
      <w:pPr>
        <w:spacing w:after="60"/>
        <w:ind w:firstLine="567"/>
        <w:jc w:val="both"/>
      </w:pPr>
      <w:r>
        <w:rPr>
          <w:rFonts w:ascii="Arial" w:cs="Arial" w:eastAsia="Arial" w:hAnsi="Arial"/>
          <w:sz w:val="24"/>
          <w:szCs w:val="24"/>
        </w:rPr>
        <w:t xml:space="preserve">1) прекращение деятельности лицензиата;</w:t>
      </w:r>
    </w:p>
    <w:p>
      <w:pPr>
        <w:spacing w:after="60"/>
        <w:ind w:firstLine="567"/>
        <w:jc w:val="both"/>
      </w:pPr>
      <w:r>
        <w:rPr>
          <w:rFonts w:ascii="Arial" w:cs="Arial" w:eastAsia="Arial" w:hAnsi="Arial"/>
          <w:sz w:val="24"/>
          <w:szCs w:val="24"/>
        </w:rPr>
        <w:t xml:space="preserve">2) истечение срока действия лицензии;</w:t>
      </w:r>
    </w:p>
    <w:p>
      <w:pPr>
        <w:spacing w:after="60"/>
        <w:ind w:firstLine="567"/>
        <w:jc w:val="both"/>
      </w:pPr>
      <w:r>
        <w:rPr>
          <w:rFonts w:ascii="Arial" w:cs="Arial" w:eastAsia="Arial" w:hAnsi="Arial"/>
          <w:sz w:val="24"/>
          <w:szCs w:val="24"/>
        </w:rPr>
        <w:t xml:space="preserve">3) отзыв лицензии.</w:t>
      </w:r>
    </w:p>
    <w:p>
      <w:pPr>
        <w:spacing w:after="60"/>
        <w:ind w:firstLine="567"/>
        <w:jc w:val="both"/>
      </w:pPr>
      <w:r>
        <w:rPr>
          <w:rFonts w:ascii="Arial" w:cs="Arial" w:eastAsia="Arial" w:hAnsi="Arial"/>
          <w:sz w:val="24"/>
          <w:szCs w:val="24"/>
        </w:rPr>
        <w:t xml:space="preserve">45. Отзыв лицензии и прекращение действия лицензии означают запрет на осуществление игорной деятельности.</w:t>
      </w:r>
    </w:p>
    <w:p>
      <w:pPr>
        <w:spacing w:after="60"/>
        <w:ind w:firstLine="567"/>
        <w:jc w:val="both"/>
      </w:pPr>
      <w:r>
        <w:rPr>
          <w:rFonts w:ascii="Arial" w:cs="Arial" w:eastAsia="Arial" w:hAnsi="Arial"/>
          <w:sz w:val="24"/>
          <w:szCs w:val="24"/>
        </w:rPr>
        <w:t xml:space="preserve">46. Лицензиар в течение трех рабочих дней в письменной форме информирует лицензиата о прекращении действия лицензии.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лицензировании игорной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ЗАЯВЛЕНИЕ
 на получение лицензии</w:t>
      </w:r>
    </w:p>
    <w:p>
      <w:pPr>
        <w:spacing w:after="60"/>
        <w:ind w:firstLine="567"/>
        <w:jc w:val="both"/>
      </w:pPr>
      <w:r>
        <w:rPr>
          <w:rFonts w:ascii="Arial" w:cs="Arial" w:eastAsia="Arial" w:hAnsi="Arial"/>
          <w:sz w:val="24"/>
          <w:szCs w:val="24"/>
        </w:rPr>
        <w:t xml:space="preserve">Прошу выдать лицензию на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(точное и полное наименование вида (видов) деятельности)</w:t>
      </w:r>
    </w:p>
    <w:p>
      <w:pPr>
        <w:spacing w:after="60"/>
        <w:ind w:firstLine="567"/>
        <w:jc w:val="both"/>
      </w:pPr>
      <w:r>
        <w:rPr>
          <w:rFonts w:ascii="Arial" w:cs="Arial" w:eastAsia="Arial" w:hAnsi="Arial"/>
          <w:sz w:val="24"/>
          <w:szCs w:val="24"/>
        </w:rPr>
        <w:t xml:space="preserve">Местонахождение 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полное и (в случае, если имеется) сокращенное наименование, в том числе фирменное </w:t>
      </w:r>
    </w:p>
    <w:p>
      <w:pPr>
        <w:spacing w:after="60"/>
        <w:jc w:val="both"/>
      </w:pPr>
      <w:r>
        <w:rPr>
          <w:rFonts w:ascii="Arial" w:cs="Arial" w:eastAsia="Arial" w:hAnsi="Arial"/>
          <w:sz w:val="24"/>
          <w:szCs w:val="24"/>
        </w:rPr>
        <w:t xml:space="preserve">наименование, и организационно-правовая форма юридического лица</w:t>
      </w:r>
    </w:p>
    <w:p>
      <w:pPr>
        <w:spacing w:after="60"/>
        <w:jc w:val="both"/>
      </w:pPr>
      <w:r>
        <w:rPr>
          <w:rFonts w:ascii="Arial" w:cs="Arial" w:eastAsia="Arial" w:hAnsi="Arial"/>
          <w:sz w:val="24"/>
          <w:szCs w:val="24"/>
        </w:rPr>
        <w:t xml:space="preserve">Свидетельство о государственной регистрации серии _________________________ № _______________,</w:t>
      </w:r>
    </w:p>
    <w:p>
      <w:pPr>
        <w:spacing w:after="60"/>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(кем, когда выдан)</w:t>
      </w:r>
    </w:p>
    <w:p>
      <w:pPr>
        <w:spacing w:after="60"/>
        <w:ind w:firstLine="567"/>
        <w:jc w:val="both"/>
      </w:pPr>
      <w:r>
        <w:rPr>
          <w:rFonts w:ascii="Arial" w:cs="Arial" w:eastAsia="Arial" w:hAnsi="Arial"/>
          <w:sz w:val="24"/>
          <w:szCs w:val="24"/>
        </w:rPr>
        <w:t xml:space="preserve">Юридический адрес: 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ИНН: 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Контактные данные: номер телефона, e-mail, факс, официальный сайт:</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before="120"/>
        <w:jc w:val="both"/>
      </w:pPr>
      <w:r>
        <w:rPr>
          <w:rFonts w:ascii="Arial" w:cs="Arial" w:eastAsia="Arial" w:hAnsi="Arial"/>
          <w:sz w:val="24"/>
          <w:szCs w:val="24"/>
        </w:rPr>
        <w:t xml:space="preserve">                                             К заявлению прилагаются документы, необходимые для</w:t>
      </w:r>
    </w:p>
    <w:p>
      <w:pPr>
        <w:spacing w:after="60" w:before="120"/>
        <w:jc w:val="both"/>
      </w:pPr>
      <w:r>
        <w:rPr>
          <w:rFonts w:ascii="Arial" w:cs="Arial" w:eastAsia="Arial" w:hAnsi="Arial"/>
          <w:sz w:val="24"/>
          <w:szCs w:val="24"/>
        </w:rPr>
        <w:t xml:space="preserve">                                                 получения лицензии (перечень и количество листов)</w:t>
      </w:r>
    </w:p>
    <w:p>
      <w:pPr>
        <w:spacing w:after="60" w:before="12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(подпись)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лицензировании игорной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________________________________________________________________________________
                         (полное наименование лицензирующего органа - лицензиара)</w:t>
      </w:r>
    </w:p>
    <w:p>
      <w:pPr>
        <w:spacing w:after="200" w:before="200"/>
        <w:jc w:val="both"/>
      </w:pPr>
      <w:r>
        <w:rPr>
          <w:rFonts w:ascii="Arial" w:cs="Arial" w:eastAsia="Arial" w:hAnsi="Arial"/>
          <w:b/>
          <w:bCs/>
          <w:sz w:val="24"/>
          <w:szCs w:val="24"/>
        </w:rPr>
        <w:t xml:space="preserve">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                                   (полное и (в случае, если имеется) сокращенное наименование, в том числе</w:t>
      </w:r>
    </w:p>
    <w:p>
      <w:pPr>
        <w:spacing w:after="60"/>
        <w:jc w:val="both"/>
      </w:pPr>
      <w:r>
        <w:rPr>
          <w:rFonts w:ascii="Arial" w:cs="Arial" w:eastAsia="Arial" w:hAnsi="Arial"/>
          <w:sz w:val="24"/>
          <w:szCs w:val="24"/>
        </w:rPr>
        <w:t xml:space="preserve">                        Фирменное наименование, организационно-правовая форма юридического лица или</w:t>
      </w:r>
    </w:p>
    <w:p>
      <w:pPr>
        <w:spacing w:after="60"/>
        <w:jc w:val="both"/>
      </w:pPr>
      <w:r>
        <w:rPr>
          <w:rFonts w:ascii="Arial" w:cs="Arial" w:eastAsia="Arial" w:hAnsi="Arial"/>
          <w:sz w:val="24"/>
          <w:szCs w:val="24"/>
        </w:rPr>
        <w:t xml:space="preserve">                                               ФИО индивидуального предпринимателя, лицензиата)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Свидетельство о государственной регистрации (перерегистрации) юридического лица, филиала </w:t>
      </w:r>
    </w:p>
    <w:p>
      <w:pPr>
        <w:spacing w:after="60"/>
        <w:jc w:val="both"/>
      </w:pPr>
      <w:r>
        <w:rPr>
          <w:rFonts w:ascii="Arial" w:cs="Arial" w:eastAsia="Arial" w:hAnsi="Arial"/>
          <w:sz w:val="24"/>
          <w:szCs w:val="24"/>
        </w:rPr>
        <w:t xml:space="preserve">(представительства)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(номер и дата)</w:t>
      </w:r>
    </w:p>
    <w:p>
      <w:pPr>
        <w:spacing w:after="60"/>
        <w:ind w:firstLine="567"/>
        <w:jc w:val="both"/>
      </w:pPr>
      <w:r>
        <w:rPr>
          <w:rFonts w:ascii="Arial" w:cs="Arial" w:eastAsia="Arial" w:hAnsi="Arial"/>
          <w:sz w:val="24"/>
          <w:szCs w:val="24"/>
        </w:rPr>
        <w:t xml:space="preserve">Регистрационный номер записи о государственной регистрации индивидуального предпринимателя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(номер и дата)</w:t>
      </w:r>
    </w:p>
    <w:p>
      <w:pPr>
        <w:spacing w:after="60"/>
        <w:ind w:firstLine="567"/>
        <w:jc w:val="both"/>
      </w:pPr>
      <w:r>
        <w:rPr>
          <w:rFonts w:ascii="Arial" w:cs="Arial" w:eastAsia="Arial" w:hAnsi="Arial"/>
          <w:sz w:val="24"/>
          <w:szCs w:val="24"/>
        </w:rPr>
        <w:t xml:space="preserve">Лицензируемый вид деятельности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Срок действия лицензии: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Местонахождение: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 ____________________ 20___ года</w:t>
      </w:r>
    </w:p>
    <w:p>
      <w:pPr>
        <w:spacing w:after="60"/>
        <w:ind w:firstLine="567"/>
        <w:jc w:val="both"/>
      </w:pPr>
      <w:r>
        <w:rPr>
          <w:rFonts w:ascii="Arial" w:cs="Arial" w:eastAsia="Arial" w:hAnsi="Arial"/>
          <w:sz w:val="24"/>
          <w:szCs w:val="24"/>
        </w:rPr>
        <w:t xml:space="preserve">Регистрационный номер лицензии: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(указать номер)</w:t>
      </w:r>
    </w:p>
    <w:p>
      <w:pPr>
        <w:spacing w:after="60"/>
        <w:ind w:firstLine="567"/>
        <w:jc w:val="both"/>
      </w:pPr>
      <w:r>
        <w:rPr>
          <w:rFonts w:ascii="Arial" w:cs="Arial" w:eastAsia="Arial" w:hAnsi="Arial"/>
          <w:sz w:val="24"/>
          <w:szCs w:val="24"/>
        </w:rPr>
        <w:t xml:space="preserve">Идентификационный номер налогоплательщика: 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Лицензия является неотчуждаемой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подпись лица, выдавшего лицензию)</w:t>
      </w:r>
    </w:p>
    <w:p>
      <w:pPr>
        <w:spacing w:after="60"/>
        <w:ind w:firstLine="567"/>
        <w:jc w:val="both"/>
      </w:pPr>
      <w:r>
        <w:rPr>
          <w:rFonts w:ascii="Arial" w:cs="Arial" w:eastAsia="Arial" w:hAnsi="Arial"/>
          <w:sz w:val="24"/>
          <w:szCs w:val="24"/>
        </w:rPr>
        <w:t xml:space="preserve">М.П.              № _______________________________ (серия бланка лицензии)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лицензировании игорной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1"/>
        <w:gridCol w:w="4251"/>
        <w:gridCol w:w="1675"/>
      </w:tblGrid>
      <w:tr>
        <w:tc>
          <w:tcPr>
            <w:tcW w:type="dxa" w:w="8502"/>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АНКЕТА</w:t>
            </w:r>
          </w:p>
        </w:tc>
        <w:tc>
          <w:tcPr>
            <w:tcW w:type="dxa" w:w="16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2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(Фото)</w:t>
            </w:r>
          </w:p>
        </w:tc>
      </w:tr>
      <w:tr>
        <w:tc>
          <w:tcPr>
            <w:tcW w:type="dxa" w:w="42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 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игорного заведения и вида игорной деятельности)</w:t>
      </w:r>
    </w:p>
    <w:p>
      <w:pPr>
        <w:spacing w:after="60"/>
        <w:ind w:firstLine="567"/>
        <w:jc w:val="both"/>
      </w:pPr>
      <w:r>
        <w:rPr>
          <w:rFonts w:ascii="Arial" w:cs="Arial" w:eastAsia="Arial" w:hAnsi="Arial"/>
          <w:sz w:val="24"/>
          <w:szCs w:val="24"/>
        </w:rPr>
        <w:t xml:space="preserve">1. ФИО 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(дата и место рождения)</w:t>
      </w:r>
    </w:p>
    <w:p>
      <w:pPr>
        <w:spacing w:after="60"/>
        <w:ind w:firstLine="567"/>
        <w:jc w:val="both"/>
      </w:pPr>
      <w:r>
        <w:rPr>
          <w:rFonts w:ascii="Arial" w:cs="Arial" w:eastAsia="Arial" w:hAnsi="Arial"/>
          <w:sz w:val="24"/>
          <w:szCs w:val="24"/>
        </w:rPr>
        <w:t xml:space="preserve">Паспорт серия _______________________________ номер __________________________________ кем выдан</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дата выдачи ___________________________________________________________________________________</w:t>
      </w:r>
    </w:p>
    <w:p>
      <w:pPr>
        <w:spacing w:after="60"/>
        <w:ind w:firstLine="567"/>
        <w:jc w:val="both"/>
      </w:pPr>
      <w:r>
        <w:rPr>
          <w:rFonts w:ascii="Arial" w:cs="Arial" w:eastAsia="Arial" w:hAnsi="Arial"/>
          <w:sz w:val="24"/>
          <w:szCs w:val="24"/>
        </w:rPr>
        <w:t xml:space="preserve">Гражданство __________________________________________________________________________________</w:t>
      </w:r>
    </w:p>
    <w:p>
      <w:pPr>
        <w:spacing w:after="60"/>
        <w:ind w:firstLine="567"/>
        <w:jc w:val="both"/>
      </w:pPr>
      <w:r>
        <w:rPr>
          <w:rFonts w:ascii="Arial" w:cs="Arial" w:eastAsia="Arial" w:hAnsi="Arial"/>
          <w:sz w:val="24"/>
          <w:szCs w:val="24"/>
        </w:rPr>
        <w:t xml:space="preserve">Домашний адрес по прописке, № телефона ________________________________________________________</w:t>
      </w:r>
    </w:p>
    <w:p>
      <w:pPr>
        <w:spacing w:after="60"/>
        <w:ind w:firstLine="567"/>
        <w:jc w:val="both"/>
      </w:pPr>
      <w:r>
        <w:rPr>
          <w:rFonts w:ascii="Arial" w:cs="Arial" w:eastAsia="Arial" w:hAnsi="Arial"/>
          <w:sz w:val="24"/>
          <w:szCs w:val="24"/>
        </w:rPr>
        <w:t xml:space="preserve">Домашний адрес фактического места проживания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Семейное положение _________________________________________________________________________</w:t>
      </w:r>
    </w:p>
    <w:p>
      <w:pPr>
        <w:spacing w:after="60"/>
        <w:ind w:firstLine="567"/>
        <w:jc w:val="both"/>
      </w:pPr>
      <w:r>
        <w:rPr>
          <w:rFonts w:ascii="Arial" w:cs="Arial" w:eastAsia="Arial" w:hAnsi="Arial"/>
          <w:sz w:val="24"/>
          <w:szCs w:val="24"/>
        </w:rPr>
        <w:t xml:space="preserve">3. Образование высшее 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(бакалавр, магистр, специалист)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диплом № _______________________________ дата выдачи __________________________________________</w:t>
      </w:r>
    </w:p>
    <w:p>
      <w:pPr>
        <w:spacing w:after="60"/>
        <w:ind w:firstLine="567"/>
        <w:jc w:val="both"/>
      </w:pPr>
      <w:r>
        <w:rPr>
          <w:rFonts w:ascii="Arial" w:cs="Arial" w:eastAsia="Arial" w:hAnsi="Arial"/>
          <w:sz w:val="24"/>
          <w:szCs w:val="24"/>
        </w:rPr>
        <w:t xml:space="preserve">кем выдан 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0"/>
        <w:gridCol w:w="1665"/>
        <w:gridCol w:w="1197"/>
        <w:gridCol w:w="1052"/>
        <w:gridCol w:w="2964"/>
      </w:tblGrid>
      <w:tr>
        <w:tc>
          <w:tcPr>
            <w:tcW w:type="dxa" w:w="33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учебного заведения и его место нахождения</w:t>
            </w:r>
          </w:p>
        </w:tc>
        <w:tc>
          <w:tcPr>
            <w:tcW w:type="dxa" w:w="16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Факультет или отделение</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поступления</w:t>
            </w:r>
          </w:p>
        </w:tc>
        <w:tc>
          <w:tcPr>
            <w:tcW w:type="dxa" w:w="10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окончания</w:t>
            </w:r>
          </w:p>
        </w:tc>
        <w:tc>
          <w:tcPr>
            <w:tcW w:type="dxa" w:w="2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Специальность согласно полученному диплому</w:t>
            </w:r>
          </w:p>
        </w:tc>
      </w:tr>
      <w:tr>
        <w:tc>
          <w:tcPr>
            <w:tcW w:type="dxa" w:w="3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Обучение на курсах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Тема семинара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Организатор семинара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прохождения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прохождения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сертификата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Выполняемая работа с начала трудовой деятельности:</w:t>
      </w:r>
    </w:p>
    <w:p>
      <w:pPr>
        <w:spacing w:after="60"/>
        <w:ind w:firstLine="567"/>
        <w:jc w:val="both"/>
      </w:pPr>
      <w:r>
        <w:rPr>
          <w:rFonts w:ascii="Arial" w:cs="Arial" w:eastAsia="Arial" w:hAnsi="Arial"/>
          <w:sz w:val="24"/>
          <w:szCs w:val="24"/>
        </w:rPr>
        <w:t xml:space="preserve">Общий трудовой стаж работы: ________________________________________</w:t>
      </w:r>
    </w:p>
    <w:p>
      <w:pPr>
        <w:spacing w:after="120"/>
        <w:ind w:firstLine="567"/>
        <w:jc w:val="both"/>
      </w:pPr>
      <w:r>
        <w:rPr>
          <w:rFonts w:ascii="Arial" w:cs="Arial" w:eastAsia="Arial" w:hAnsi="Arial"/>
          <w:sz w:val="24"/>
          <w:szCs w:val="24"/>
        </w:rPr>
        <w:t xml:space="preserve">в том числе в финансовой или экономической сфере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на работу</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ухода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учреждения, место нахождения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ухода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Укажите все другие организации, ассоциации, учреждения юридических лиц, сотрудником или членом которых Вы являетесь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1"/>
        <w:gridCol w:w="3393"/>
        <w:gridCol w:w="3393"/>
      </w:tblGrid>
      <w:tr>
        <w:tc>
          <w:tcPr>
            <w:tcW w:type="dxa" w:w="33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организации</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 организации</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Укажите имеющиеся родственные связи с сотрудниками игорного заведения, связь с лицами или компаниями, контролирующими игорную деятельность, все взаимные обязательства и договоры и т.п.</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1. Имеете ли Вы решение суда, запрещающее занятие данным видом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(да или нет)</w:t>
      </w:r>
    </w:p>
    <w:p>
      <w:pPr>
        <w:spacing w:after="60"/>
        <w:ind w:firstLine="567"/>
        <w:jc w:val="both"/>
      </w:pPr>
      <w:r>
        <w:rPr>
          <w:rFonts w:ascii="Arial" w:cs="Arial" w:eastAsia="Arial" w:hAnsi="Arial"/>
          <w:sz w:val="24"/>
          <w:szCs w:val="24"/>
        </w:rPr>
        <w:t xml:space="preserve">2. Имеете ли Вы отношение к банку или иному финансово-кредитному учреждению, находящемуся в процессе банкротства или прекратившим свою деятельность в связи с банкротством</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(если да, то укажите наименование банка или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финансово-кредитного учреждения, должность которую вы занимали)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Я 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подтверждаю, что выше представленная информация является достоверной и полной, и обязуюсь в дальнейшем представлять в уполномоченный государственный орган, регулирующий игорную деятельность, сведения обо всех изменениях, произошедших в ней. Признаю, что в случае допущения с моей стороны искажений и упущений, это может послужить основанием для отказа в получении лицензии на осуществление игорной деятельности, а также повлечь за собой дальнейшее применение санкций в отношении меня и игорного заведения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       "___" __________________________ </w:t>
      </w:r>
      <w:r>
        <w:rPr>
          <w:rFonts w:ascii="Arial" w:cs="Arial" w:eastAsia="Arial" w:hAnsi="Arial"/>
          <w:sz w:val="24"/>
          <w:szCs w:val="24"/>
        </w:rPr>
        <w:t xml:space="preserve">г</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подпись</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cmynagtfgl50yslvfzwj" Type="http://schemas.openxmlformats.org/officeDocument/2006/relationships/hyperlink" Target="http://kodeks.duckdns.org/document/159440" TargetMode="External"/><Relationship Id="rId5z7wrkbwks7_tbu_ayg5j" Type="http://schemas.openxmlformats.org/officeDocument/2006/relationships/hyperlink" Target="http://kodeks.duckdns.org/document/230001401" TargetMode="External"/><Relationship Id="rIddgx21jmv9kgwmn619xvma" Type="http://schemas.openxmlformats.org/officeDocument/2006/relationships/hyperlink" Target="http://kodeks.duckdns.org/document/230013919" TargetMode="External"/><Relationship Id="rIddwr7-k2_ipdrreted7b8x" Type="http://schemas.openxmlformats.org/officeDocument/2006/relationships/hyperlink" Target="http://kodeks.duckdns.org/document/230031822" TargetMode="External"/><Relationship Id="rIdsuxxj6wwfiomjs6fd63qz" Type="http://schemas.openxmlformats.org/officeDocument/2006/relationships/hyperlink" Target="http://kodeks.duckdns.org/document/230013919" TargetMode="External"/><Relationship Id="rIdyo-8ix89x7sk9g1buvpy-" Type="http://schemas.openxmlformats.org/officeDocument/2006/relationships/hyperlink" Target="http://kodeks.duckdns.org/document/230001401" TargetMode="External"/><Relationship Id="rIdoy-adml_4uno2qnfpoh3e" Type="http://schemas.openxmlformats.org/officeDocument/2006/relationships/hyperlink" Target="http://kodeks.duckdns.org/document/230013919" TargetMode="External"/><Relationship Id="rIdio6fcg_c-jdt90vn0ffsc" Type="http://schemas.openxmlformats.org/officeDocument/2006/relationships/hyperlink" Target="http://kodeks.duckdns.org/document/205058" TargetMode="External"/><Relationship Id="rIds8sc5zlcayw1uwtbf-tg5" Type="http://schemas.openxmlformats.org/officeDocument/2006/relationships/hyperlink" Target="http://kodeks.duckdns.org/document/205058" TargetMode="External"/><Relationship Id="rIdarx_6e36t2d7zokjb9khx" Type="http://schemas.openxmlformats.org/officeDocument/2006/relationships/hyperlink" Target="http://kodeks.duckdns.org/document/160806" TargetMode="External"/><Relationship Id="rId4ahjreb6ozo_kkp4fsxtv" Type="http://schemas.openxmlformats.org/officeDocument/2006/relationships/hyperlink" Target="http://kodeks.duckdns.org/document/205058" TargetMode="External"/><Relationship Id="rIdyqlw1maxi44x7bi0nqxyx" Type="http://schemas.openxmlformats.org/officeDocument/2006/relationships/hyperlink" Target="http://kodeks.duckdns.org/document/159436#pr1" TargetMode="External"/><Relationship Id="rIdhhf047piszoot_5fvyzvb" Type="http://schemas.openxmlformats.org/officeDocument/2006/relationships/hyperlink" Target="http://kodeks.duckdns.org/document/111635" TargetMode="External"/><Relationship Id="rIdwldahrlsnfcg99scpb2p4" Type="http://schemas.openxmlformats.org/officeDocument/2006/relationships/hyperlink" Target="http://kodeks.duckdns.org/document/205058" TargetMode="External"/><Relationship Id="rId3l8elprga6cxclqcjf8ub" Type="http://schemas.openxmlformats.org/officeDocument/2006/relationships/hyperlink" Target="http://kodeks.duckdns.org/document/159436#pr2" TargetMode="External"/><Relationship Id="rIdfmjipy9iwo6d95hzy1ta9" Type="http://schemas.openxmlformats.org/officeDocument/2006/relationships/hyperlink" Target="http://kodeks.duckdns.org/document/159436#pr3" TargetMode="External"/><Relationship Id="rIdpqiavcxvijsfgq-lecpw-" Type="http://schemas.openxmlformats.org/officeDocument/2006/relationships/hyperlink" Target="http://kodeks.duckdns.org/document/159436#pr2" TargetMode="External"/><Relationship Id="rIdh_fv1zbcrqcat1uueebxs" Type="http://schemas.openxmlformats.org/officeDocument/2006/relationships/hyperlink" Target="http://kodeks.duckdns.org/document/159436#pr3" TargetMode="External"/><Relationship Id="rIddhynzjye5dx8xidikohoo" Type="http://schemas.openxmlformats.org/officeDocument/2006/relationships/hyperlink" Target="http://kodeks.duckdns.org/document/159436#pr2" TargetMode="External"/><Relationship Id="rIdvd7wirs1srwyz6gbcsvx3" Type="http://schemas.openxmlformats.org/officeDocument/2006/relationships/hyperlink" Target="http://kodeks.duckdns.org/document/159436#pr3" TargetMode="External"/><Relationship Id="rIdmfzmsbgd3qxhy-vk9cnyc" Type="http://schemas.openxmlformats.org/officeDocument/2006/relationships/hyperlink" Target="http://kodeks.duckdns.org/document/230013919" TargetMode="External"/><Relationship Id="rId6jb9tgj1wjchisbg7kn1h" Type="http://schemas.openxmlformats.org/officeDocument/2006/relationships/hyperlink" Target="http://kodeks.duckdns.org/document/230031822" TargetMode="External"/><Relationship Id="rIdyioeqw5h2orlnrhckovnl" Type="http://schemas.openxmlformats.org/officeDocument/2006/relationships/hyperlink" Target="http://kodeks.duckdns.org/document/230013919" TargetMode="External"/><Relationship Id="rIdhsxjuhqkjnjtqq2xisjca" Type="http://schemas.openxmlformats.org/officeDocument/2006/relationships/hyperlink" Target="http://kodeks.duckdns.org/document/112383" TargetMode="External"/><Relationship Id="rIdovncze4mmxkpyccn4iypr" Type="http://schemas.openxmlformats.org/officeDocument/2006/relationships/hyperlink" Target="http://kodeks.duckdns.org/document/205058" TargetMode="External"/><Relationship Id="rIdh8-dys5fzklqa1luwnf96" Type="http://schemas.openxmlformats.org/officeDocument/2006/relationships/hyperlink" Target="http://kodeks.duckdns.org/document/205058" TargetMode="External"/><Relationship Id="rIdasw0v1pn7z1v7f22ghxfp" Type="http://schemas.openxmlformats.org/officeDocument/2006/relationships/hyperlink" Target="http://kodeks.duckdns.org/document/111254" TargetMode="External"/><Relationship Id="rId_aknbxydu63azbu3an80m" Type="http://schemas.openxmlformats.org/officeDocument/2006/relationships/hyperlink" Target="http://kodeks.duckdns.org/document/160806" TargetMode="External"/><Relationship Id="rIdyjcrjnu5b-hvztcj7_ua1" Type="http://schemas.openxmlformats.org/officeDocument/2006/relationships/hyperlink" Target="http://kodeks.duckdns.org/document/160806" TargetMode="External"/><Relationship Id="rIdzix4ijzn31-xzhakcpekb" Type="http://schemas.openxmlformats.org/officeDocument/2006/relationships/hyperlink" Target="http://kodeks.duckdns.org/document/160806" TargetMode="External"/><Relationship Id="rIdydpgpa_mc-hp9rp3u_coq" Type="http://schemas.openxmlformats.org/officeDocument/2006/relationships/hyperlink" Target="http://kodeks.duckdns.org/document/160806" TargetMode="External"/><Relationship Id="rId0ceukmvuefj3ixf7ldknd" Type="http://schemas.openxmlformats.org/officeDocument/2006/relationships/hyperlink" Target="http://kodeks.duckdns.org/document/112340" TargetMode="External"/><Relationship Id="rId0m9yroxhcuulbju-m_pc3" Type="http://schemas.openxmlformats.org/officeDocument/2006/relationships/hyperlink" Target="http://kodeks.duckdns.org/document/205058" TargetMode="External"/><Relationship Id="rIdm8ysm0yv422qik8jy9gy4" Type="http://schemas.openxmlformats.org/officeDocument/2006/relationships/hyperlink" Target="http://kodeks.duckdns.org/document/112383" TargetMode="External"/><Relationship Id="rIdsdd5xwot_5fw6rykspkuh" Type="http://schemas.openxmlformats.org/officeDocument/2006/relationships/hyperlink" Target="http://kodeks.duckdns.org/document/111822" TargetMode="External"/><Relationship Id="rIdhztelslgsd_jru8egejq7" Type="http://schemas.openxmlformats.org/officeDocument/2006/relationships/hyperlink" Target="http://kodeks.duckdns.org/document/162" TargetMode="External"/><Relationship Id="rIdm0yb373zj_6dmftswxyil" Type="http://schemas.openxmlformats.org/officeDocument/2006/relationships/hyperlink" Target="http://kodeks.duckdns.org/document/202269" TargetMode="External"/><Relationship Id="rIdigslfekupvshjwrqg9eia" Type="http://schemas.openxmlformats.org/officeDocument/2006/relationships/hyperlink" Target="http://kodeks.duckdns.org/document/205058" TargetMode="External"/><Relationship Id="rIdaa5bw_nbxkg20ch2axckf" Type="http://schemas.openxmlformats.org/officeDocument/2006/relationships/hyperlink" Target="http://kodeks.duckdns.org/document/112383" TargetMode="External"/><Relationship Id="rIdenh3s-33u88djn6pfwxlf" Type="http://schemas.openxmlformats.org/officeDocument/2006/relationships/hyperlink" Target="http://kodeks.duckdns.org/document/162" TargetMode="External"/><Relationship Id="rIdv6qb5mz4sixjxd_gojwx2" Type="http://schemas.openxmlformats.org/officeDocument/2006/relationships/hyperlink" Target="http://kodeks.duckdns.org/document/202269" TargetMode="External"/><Relationship Id="rIdfaiktx2pzgxtlwcj6ehkl" Type="http://schemas.openxmlformats.org/officeDocument/2006/relationships/hyperlink" Target="http://kodeks.duckdns.org/document/111822" TargetMode="External"/><Relationship Id="rIdipqbk6trljjecbpjwjwot" Type="http://schemas.openxmlformats.org/officeDocument/2006/relationships/hyperlink" Target="http://kodeks.duckdns.org/document/111254" TargetMode="External"/><Relationship Id="rId7" Type="http://schemas.openxmlformats.org/officeDocument/2006/relationships/image" Target="media/93bec1c1538034512fe33c1434ae0ea86b639d33.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2026-09-22T23:44:55.464Z</dcterms:created>
  <dcterms:modified xsi:type="dcterms:W3CDTF">2026-09-22T23:44:55.464Z</dcterms:modified>
</cp:coreProperties>
</file>

<file path=docProps/custom.xml><?xml version="1.0" encoding="utf-8"?>
<Properties xmlns="http://schemas.openxmlformats.org/officeDocument/2006/custom-properties" xmlns:vt="http://schemas.openxmlformats.org/officeDocument/2006/docPropsVTypes"/>
</file>