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Программа по привлечению инвестиций</w:t>
      </w:r>
    </w:p>
    <w:p>
      <w:pPr>
        <w:spacing w:after="240" w:before="200"/>
        <w:jc w:val="center"/>
      </w:pPr>
      <w:r>
        <w:rPr>
          <w:rFonts w:ascii="Arial" w:cs="Arial" w:eastAsia="Arial" w:hAnsi="Arial"/>
          <w:b/>
          <w:bCs/>
          <w:sz w:val="32"/>
          <w:szCs w:val="32"/>
        </w:rPr>
        <w:t xml:space="preserve">в Кыргызскую Республику на 2022–2026 годы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w:t>
      </w:r>
      <w:r>
        <w:rPr>
          <w:rFonts w:ascii="Arial" w:cs="Arial" w:eastAsia="Arial" w:hAnsi="Arial"/>
          <w:b/>
          <w:bCs/>
          <w:sz w:val="32"/>
          <w:szCs w:val="32"/>
        </w:rPr>
        <w:t xml:space="preserve">Основные цели и приоритеты программы</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Программа по привлечению инвестиций в Кыргызскую Республику на 2022–2026 годы (далее – Программа) разработана в целях реализации Национальной программы развития Кыргызской Республики до 2026 года.</w:t>
      </w:r>
    </w:p>
    <w:p>
      <w:pPr>
        <w:spacing w:after="120"/>
        <w:jc w:val="both"/>
      </w:pPr>
      <w:r>
        <w:rPr>
          <w:rFonts w:ascii="Arial" w:cs="Arial" w:eastAsia="Arial" w:hAnsi="Arial"/>
          <w:sz w:val="24"/>
          <w:szCs w:val="24"/>
        </w:rPr>
        <w:t xml:space="preserve">Программа является основным документом, определяющим цели и направления инвестиционной политики до 2026 года и координирующим действия государственных органов, местной государственной администрации, органов местного самоуправления, представителей бизнес-сообщества и других заинтересованных лиц в области привлечения внешних и внутренних инвестиций.</w:t>
      </w:r>
    </w:p>
    <w:p>
      <w:pPr>
        <w:spacing w:after="120"/>
        <w:jc w:val="both"/>
      </w:pPr>
      <w:r>
        <w:rPr>
          <w:rFonts w:ascii="Arial" w:cs="Arial" w:eastAsia="Arial" w:hAnsi="Arial"/>
          <w:sz w:val="24"/>
          <w:szCs w:val="24"/>
        </w:rPr>
        <w:t xml:space="preserve">Программа составлена с учетом основных глобальных инвестиционных трендов в мире по состоянию на 2022 год, прогноза развития мировой и национальной экономики, места Центральной Азии в международных инвестиционных потоках и экономической ситуации в Кыргызской Республике.</w:t>
      </w:r>
    </w:p>
    <w:p>
      <w:pPr>
        <w:spacing w:after="120"/>
        <w:jc w:val="both"/>
      </w:pPr>
      <w:r>
        <w:rPr>
          <w:rFonts w:ascii="Arial" w:cs="Arial" w:eastAsia="Arial" w:hAnsi="Arial"/>
          <w:sz w:val="24"/>
          <w:szCs w:val="24"/>
        </w:rPr>
        <w:t xml:space="preserve">Целью Программы на ближайшие 5 лет является: обеспечение темпа экономического роста в среднем на уровне 5,0 % ежегодно, увеличение ВВП на душу населения до 1 500 долл. США, достижение ежегодного уровня прямых иностранных инвестиций не менее 13 % к ВВП и ежегодного уровня инвестиций в основной капитал не менее 25 % к ВВП к 2026 году.</w:t>
      </w:r>
    </w:p>
    <w:p>
      <w:pPr>
        <w:spacing w:after="120"/>
        <w:jc w:val="both"/>
      </w:pPr>
      <w:r>
        <w:rPr>
          <w:rFonts w:ascii="Arial" w:cs="Arial" w:eastAsia="Arial" w:hAnsi="Arial"/>
          <w:sz w:val="24"/>
          <w:szCs w:val="24"/>
        </w:rPr>
        <w:t xml:space="preserve">Программа составлена с учетом сильных сторон Кыргызской Республики, в которых страна имеет сравнительное преимущество для инвестирования на глобальном и региональном уровне. С учетом этих преимуществ определены приоритетные отрасли для привлечения инвестиций.</w:t>
      </w:r>
    </w:p>
    <w:p>
      <w:pPr>
        <w:spacing w:after="120"/>
        <w:jc w:val="both"/>
      </w:pPr>
      <w:r>
        <w:rPr>
          <w:rFonts w:ascii="Arial" w:cs="Arial" w:eastAsia="Arial" w:hAnsi="Arial"/>
          <w:sz w:val="24"/>
          <w:szCs w:val="24"/>
        </w:rPr>
        <w:t xml:space="preserve">Основным государственным органом ответственным за реализацию Программы определено Национальное агентство по инвестициям при Президенте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w:t>
      </w:r>
      <w:r>
        <w:rPr>
          <w:rFonts w:ascii="Arial" w:cs="Arial" w:eastAsia="Arial" w:hAnsi="Arial"/>
          <w:b/>
          <w:bCs/>
          <w:sz w:val="24"/>
          <w:szCs w:val="24"/>
        </w:rPr>
        <w:t xml:space="preserve">. </w:t>
      </w:r>
      <w:r>
        <w:rPr>
          <w:rFonts w:ascii="Arial" w:cs="Arial" w:eastAsia="Arial" w:hAnsi="Arial"/>
          <w:b/>
          <w:bCs/>
          <w:sz w:val="24"/>
          <w:szCs w:val="24"/>
        </w:rPr>
        <w:t xml:space="preserve">Общая оценка текущей ситуации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начало 2022 года экономика Кыргызская Республика начала оправляться от кризиса, связанного с последствиями пандемии Covid-19, а также внутренней политической нестабильностью, хотя темпы восстановления оказались невысокими. Так по итогам социально-экономического развития Кыргызская Республика за 2021 год уровень ВВП сложился в размере 103,6 % по отношению к такому же периоду 2020 года. Уровень прямых иностранных инвестиций (далее – ПИИ) в 2021 году начал восстанавливаться по сравнению с 2020 годом, составив 1006,1 млн долл. США или 187,2 % хотя объемы инвестиций в основной капитал так и не восстановились по сравнению с 2020 годом, снизившись на 5,9 %.</w:t>
      </w:r>
    </w:p>
    <w:p>
      <w:pPr>
        <w:spacing w:after="120"/>
        <w:jc w:val="both"/>
      </w:pPr>
      <w:r>
        <w:rPr>
          <w:rFonts w:ascii="Arial" w:cs="Arial" w:eastAsia="Arial" w:hAnsi="Arial"/>
          <w:sz w:val="24"/>
          <w:szCs w:val="24"/>
        </w:rPr>
        <w:t xml:space="preserve">Экономический рост на 2022 год планировался в размере 6,5 %. Однако в связи начавшимся конфликтом между Россией и Украиной и последовавшими за этим рядом международными санкциями на Российскую Федерацию, являющуюся основным экономическим партнером Кыргызской Республики, эти благоприятные тенденции и прогнозы в значительной мере будут нивелированы.</w:t>
      </w:r>
    </w:p>
    <w:p>
      <w:pPr>
        <w:spacing w:after="120"/>
        <w:jc w:val="both"/>
      </w:pPr>
      <w:r>
        <w:rPr>
          <w:rFonts w:ascii="Arial" w:cs="Arial" w:eastAsia="Arial" w:hAnsi="Arial"/>
          <w:sz w:val="24"/>
          <w:szCs w:val="24"/>
        </w:rPr>
        <w:t xml:space="preserve">В этих условиях Программа должна быть ориентирована на структурную перестройку экономики, учитывая необходимость создания рабочих мест для замещения внешней трудовой миграции, и поиске новых экспортных рынков.</w:t>
      </w:r>
    </w:p>
    <w:p>
      <w:pPr>
        <w:spacing w:after="120"/>
        <w:jc w:val="both"/>
      </w:pPr>
      <w:r>
        <w:rPr>
          <w:rFonts w:ascii="Arial" w:cs="Arial" w:eastAsia="Arial" w:hAnsi="Arial"/>
          <w:sz w:val="24"/>
          <w:szCs w:val="24"/>
        </w:rPr>
        <w:t xml:space="preserve">По международным индексам, оценивающим инвестиционную привлекательность страны, позиции Кыргызской Республики в последние годы не имеют положительной динамики. Так, по показателю Индекса экономической свободы – 2022 Кыргызская Республика снизила свой показатель на 7,9 балов, заняв 116 место, и перешел из категории «умеренно свободных» стран в категорию
 «в основном несвободных». По Индексу глобальной конкурентоспособности – 2020 Всемирного экономического форума Кыргызская Республика занимает 96 место.</w:t>
      </w:r>
    </w:p>
    <w:p>
      <w:pPr>
        <w:spacing w:after="120"/>
        <w:jc w:val="both"/>
      </w:pPr>
      <w:r>
        <w:rPr>
          <w:rFonts w:ascii="Arial" w:cs="Arial" w:eastAsia="Arial" w:hAnsi="Arial"/>
          <w:sz w:val="24"/>
          <w:szCs w:val="24"/>
        </w:rPr>
        <w:t xml:space="preserve">Основные тенденции в привлечении инвестиций</w:t>
      </w:r>
    </w:p>
    <w:p>
      <w:pPr>
        <w:spacing w:after="120"/>
        <w:jc w:val="both"/>
      </w:pPr>
      <w:r>
        <w:rPr>
          <w:rFonts w:ascii="Arial" w:cs="Arial" w:eastAsia="Arial" w:hAnsi="Arial"/>
          <w:sz w:val="24"/>
          <w:szCs w:val="24"/>
        </w:rPr>
        <w:t xml:space="preserve">Если посмотреть на динамику объема инвестиций в основной капитал по отношению к ВПП за последние 10 лет (рисунок 1.1.), то можно увидеть, что в Кыргызской Республике, за исключением последних двух кризисных лет, она поддерживается в среднем на уровне 25–30 %.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Рисунок 1.1. Инвестиции в основной капитал в Кыргызской Республике (млрд сом.)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Источник: Наци</w:t>
      </w:r>
      <w:r>
        <w:rPr>
          <w:rFonts w:ascii="Arial" w:cs="Arial" w:eastAsia="Arial" w:hAnsi="Arial"/>
          <w:sz w:val="24"/>
          <w:szCs w:val="24"/>
        </w:rPr>
        <w:t xml:space="preserve">ональный статистический комитет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Это достаточно высокий показатель по международным стандартам. Однако такая высокая норма накоплений не находит своего отражения в темпах экономического роста, которые за этот период в среднем составили менее 4 %. Основной причиной этого является то, что в Кыргызской Республике значительная часть инвестиций направляется в сектор недропользования и жилищное строительство. Так, в 2020 году доля освоенных инвестиций на строительство объектов по добыче полезных ископаемых составила 24,4 % от общего объема инвестиций, а на жилищное строительство 37,2 %</w:t>
      </w:r>
      <w:hyperlink w:history="1" r:id="rIdjf2bjr-h_1_-odkqhi0hj">
        <w:r>
          <w:rPr>
            <w:rFonts w:ascii="Arial" w:cs="Arial" w:eastAsia="Arial" w:hAnsi="Arial"/>
            <w:color w:val="1D4ED8"/>
            <w:sz w:val="24"/>
            <w:szCs w:val="24"/>
            <w:u w:val="single"/>
          </w:rPr>
          <w:t xml:space="preserve">[1]</w:t>
        </w:r>
      </w:hyperlink>
      <w:r>
        <w:rPr>
          <w:rFonts w:ascii="Arial" w:cs="Arial" w:eastAsia="Arial" w:hAnsi="Arial"/>
          <w:sz w:val="24"/>
          <w:szCs w:val="24"/>
        </w:rPr>
        <w:t xml:space="preserve">. Таким образом, экономический рост в Кыргызской Республике в настоящее время большей частью основан на производстве продукции с низкой добавленной стоимостью. Кроме того, в секторе недропользования в силу его высокой капиталоемкости создаются незначительное количество рабочих мест и слабые связи с другими секторами экономики.</w:t>
      </w:r>
    </w:p>
    <w:p>
      <w:pPr>
        <w:spacing w:after="120"/>
        <w:jc w:val="both"/>
      </w:pPr>
      <w:r>
        <w:rPr>
          <w:rFonts w:ascii="Arial" w:cs="Arial" w:eastAsia="Arial" w:hAnsi="Arial"/>
          <w:sz w:val="24"/>
          <w:szCs w:val="24"/>
        </w:rPr>
        <w:t xml:space="preserve">Дополнительным подтверждением некачественного экономического роста является низкая доля инноваций, внедряемых компаниями. Так, по данным </w:t>
      </w:r>
      <w:r>
        <w:rPr>
          <w:rFonts w:ascii="Arial" w:cs="Arial" w:eastAsia="Arial" w:hAnsi="Arial"/>
          <w:sz w:val="24"/>
          <w:szCs w:val="24"/>
        </w:rPr>
        <w:t xml:space="preserve">Национального статистического комитета </w:t>
      </w:r>
      <w:r>
        <w:rPr>
          <w:rFonts w:ascii="Arial" w:cs="Arial" w:eastAsia="Arial" w:hAnsi="Arial"/>
          <w:sz w:val="24"/>
          <w:szCs w:val="24"/>
        </w:rPr>
        <w:t xml:space="preserve">Кыргызской Республики (далее – Национальный статистический комитет) разработку и внедрение технологических маркетинговых и организационных инноваций в промышленности республики в
 2019 году осуществляли только 5,6 % компаний от числа обследуемых.</w:t>
      </w:r>
    </w:p>
    <w:p>
      <w:pPr>
        <w:spacing w:after="120"/>
        <w:jc w:val="both"/>
      </w:pPr>
      <w:r>
        <w:rPr>
          <w:rFonts w:ascii="Arial" w:cs="Arial" w:eastAsia="Arial" w:hAnsi="Arial"/>
          <w:sz w:val="24"/>
          <w:szCs w:val="24"/>
        </w:rPr>
        <w:t xml:space="preserve">География инвестиций в основной капитал по территории страны показывает их неравномерное распределение (Рисунок 1.2.)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Рисунок 1.2. Распределение инвестиций в основной капитал по территории (млн сом.)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Источник: Национальный статистический комитет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Наибольший удельный вес в общем объеме приходится на г. Бишкек, Иссык-Кульскую, Джалал-Абадскую и Чуйскую области, тогда как доля других областей и г. Ош составляет в общем около 20 %. Такое неравномерное распределение инвестиций создает значительные диспропорции в уровне экономического развития различных регионов, приводит к внутренней миграции и социальным проблемам.</w:t>
      </w:r>
    </w:p>
    <w:p>
      <w:pPr>
        <w:spacing w:after="120"/>
        <w:jc w:val="both"/>
      </w:pPr>
      <w:r>
        <w:rPr>
          <w:rFonts w:ascii="Arial" w:cs="Arial" w:eastAsia="Arial" w:hAnsi="Arial"/>
          <w:sz w:val="24"/>
          <w:szCs w:val="24"/>
        </w:rPr>
        <w:t xml:space="preserve">Поступление ПИИ также не имеет стабильного тренда (Рисунок 1.3.). Абсолютный рекорд за последнюю декаду в размере 1,5 млрд долл. США был установлен в 2015 году. Однако он не был подкреплен таким же показателями позднее, что говорит о случайности всплеска. Последние 3 года с 2017 по 2019 годы ознаменованы умеренным ростом поступления ППИ. Однако по итогам 2020 года общий объем ПИИ составил 537,6 млн долл. США, что на 50 % ниже, чем в 2019 году.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Рисунок 1.3. Поступление ПИИ в Кыргызскую Республику (млн долл.)</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Источник: Национальный статистический комитет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структуре ПИИ по итогам 2021 года около 49 % составляет реинвестированная прибыль. Другим крупным источником, составляющим около 36 %, являются кредиты, полученные от нерезидентов. Доля собственного капитала составляет всего 6,7 %. Такая структура прямых иностранных инвестиций свидетельствует о том, что большая их часть осуществляется уже действующими в стране инвесторами, а доля привлекаемых новых инвесторов невелика, что сигнализирует о снижении привлекательности Кыргызской Республики для зарубежных инвесторов. Лишь небольшая доля ПИИ направляется на повышение эффективности производства, это говорит о том, что стране не удалось в полной мере воспользоваться региональными/глобальными цепочками создания добавленной стоимости.</w:t>
      </w:r>
    </w:p>
    <w:p>
      <w:pPr>
        <w:spacing w:after="120"/>
        <w:jc w:val="both"/>
      </w:pPr>
      <w:r>
        <w:rPr>
          <w:rFonts w:ascii="Arial" w:cs="Arial" w:eastAsia="Arial" w:hAnsi="Arial"/>
          <w:sz w:val="24"/>
          <w:szCs w:val="24"/>
        </w:rPr>
        <w:t xml:space="preserve">Также экономические агенты в стране предпочитают непубличную форму привлечения инвестиций в бизнес. Так по данным Национального статистического комитета доля портфельных инвестиций за период с 2011 по 2020 годы составила 1,42 % в общем объеме прямых иностранных инвестиций. Это показывает низкий уровень финансового посредничества и непривлекательность фондового рынка в Кыргызской Республике.</w:t>
      </w:r>
    </w:p>
    <w:p>
      <w:pPr>
        <w:spacing w:after="120"/>
        <w:jc w:val="both"/>
      </w:pPr>
      <w:r>
        <w:rPr>
          <w:rFonts w:ascii="Arial" w:cs="Arial" w:eastAsia="Arial" w:hAnsi="Arial"/>
          <w:sz w:val="24"/>
          <w:szCs w:val="24"/>
        </w:rPr>
        <w:t xml:space="preserve">Если посмотреть на географическое положение стран, откуда поступает основной поток ПИИ, то можно увидеть, что доминирующее положение занимает всего несколько стран (Рисунок 1.4.).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Рисунок 1.4. Поступление ПИИ в Кыргызскую Республику по странам в млн долл. (2011–2020 годы)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Источник: Национальный статистический комитет Кыргызской Республики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Китай постепенно наращивал вложения ПИИ в Кыргызскую Республику и, обойдя Канаду, стал инвестором № 1 в стране. На долю Китая приходится 33,4 % от общего объема ПИИ, поступивших в Кыргызскую Республику за последние 10 лет или 2,9 млрд долл. США.</w:t>
      </w:r>
    </w:p>
    <w:p>
      <w:pPr>
        <w:spacing w:after="120"/>
        <w:jc w:val="both"/>
      </w:pPr>
      <w:r>
        <w:rPr>
          <w:rFonts w:ascii="Arial" w:cs="Arial" w:eastAsia="Arial" w:hAnsi="Arial"/>
          <w:sz w:val="24"/>
          <w:szCs w:val="24"/>
        </w:rPr>
        <w:t xml:space="preserve">Канада продолжает оставаться одним из наиболее крупных инвесторов в экономику Кыргызской Республики. За период с 2011 по 2020 годы общий объем вложенных инвестиций составил 1,6 млрд долл. США, большая часть которых связана с разработкой крупнейшего месторождения золота ЗАО «Кумтор Голд Компани».</w:t>
      </w:r>
    </w:p>
    <w:p>
      <w:pPr>
        <w:spacing w:after="120"/>
        <w:jc w:val="both"/>
      </w:pPr>
      <w:r>
        <w:rPr>
          <w:rFonts w:ascii="Arial" w:cs="Arial" w:eastAsia="Arial" w:hAnsi="Arial"/>
          <w:sz w:val="24"/>
          <w:szCs w:val="24"/>
        </w:rPr>
        <w:t xml:space="preserve">ПИИ из России были в основном в 2015 и 2016 годы. В эти периоды объем инвестиций достиг объема более 800 млн долл. США. Основная тенденция остальных 7–8 лет показывает, что объем инвестиций не превышал 100 млн долл. США в год Так, за 2011–2020 годы со стороны резидентов России было инвестировано 1,3 млрд долл. США.</w:t>
      </w:r>
    </w:p>
    <w:p>
      <w:pPr>
        <w:spacing w:after="120"/>
        <w:jc w:val="both"/>
      </w:pPr>
      <w:r>
        <w:rPr>
          <w:rFonts w:ascii="Arial" w:cs="Arial" w:eastAsia="Arial" w:hAnsi="Arial"/>
          <w:sz w:val="24"/>
          <w:szCs w:val="24"/>
        </w:rPr>
        <w:t xml:space="preserve">Соединенное Королевство Великобритании и Северной Ирландии в основном участвует в инвестировании в горнодобывающем секторе. Динамика инвестирования показывает, что до 2015 года ежегодно в среднем инвестировали по 70 млн долл. США, в 2015 году были вложены средства в размере 189,5 млн долл. США. После этого периода инвестиционные вложения стали значительно меньше. Совокупный объем вложенных средств за рассматриваемый период составил 603 млн долл. США.</w:t>
      </w:r>
    </w:p>
    <w:p>
      <w:pPr>
        <w:spacing w:after="120"/>
        <w:jc w:val="both"/>
      </w:pPr>
      <w:r>
        <w:rPr>
          <w:rFonts w:ascii="Arial" w:cs="Arial" w:eastAsia="Arial" w:hAnsi="Arial"/>
          <w:sz w:val="24"/>
          <w:szCs w:val="24"/>
        </w:rPr>
        <w:t xml:space="preserve">ПИИ из Казахстана поступали регулярно, средняя сумма ежегодных поступлений составляет 33 млн долл. США.</w:t>
      </w:r>
    </w:p>
    <w:p>
      <w:pPr>
        <w:spacing w:after="120"/>
        <w:jc w:val="both"/>
      </w:pPr>
      <w:r>
        <w:rPr>
          <w:rFonts w:ascii="Arial" w:cs="Arial" w:eastAsia="Arial" w:hAnsi="Arial"/>
          <w:sz w:val="24"/>
          <w:szCs w:val="24"/>
        </w:rPr>
        <w:t xml:space="preserve">Всего на эти 5 стран приходится 78 % от общего объема ПИИ поступивших за период с 2011 по 2020 годы. Привлечение большей части ПИИ из небольшого количества стран подвергает страну-получателя риску экономического спада в этих странах, а также ухудшения двусторонних политических отношений.</w:t>
      </w:r>
    </w:p>
    <w:p>
      <w:pPr>
        <w:spacing w:after="240" w:before="200"/>
        <w:jc w:val="center"/>
      </w:pPr>
      <w:r>
        <w:rPr>
          <w:rFonts w:ascii="Arial" w:cs="Arial" w:eastAsia="Arial" w:hAnsi="Arial"/>
          <w:b/>
          <w:bCs/>
          <w:sz w:val="32"/>
          <w:szCs w:val="32"/>
        </w:rPr>
        <w:t xml:space="preserve">Глобальные инвестиционные тренды</w:t>
      </w:r>
    </w:p>
    <w:p>
      <w:pPr>
        <w:spacing w:after="120"/>
        <w:jc w:val="both"/>
      </w:pPr>
      <w:r>
        <w:rPr>
          <w:rFonts w:ascii="Arial" w:cs="Arial" w:eastAsia="Arial" w:hAnsi="Arial"/>
          <w:sz w:val="24"/>
          <w:szCs w:val="24"/>
        </w:rPr>
        <w:t xml:space="preserve">В международной экономике 2021 год характеризуется постепенным восстановлением уровня международных ПИИ, которые испытали резкое падение в 2020 году на 35 % до уровня в 1 триллион долл. США. По прогнозу ЮНКТАД в 2022 году будет происходить постепенное восстановление потоков глобальных ПИИ до 1,4 триллионов долл. США, что, тем не менее, будет все еще ниже докризисного 2019 года. Однако восстановление ПИИ будет распределяться неравномерно по различным регионам, основное увеличение произойдет в развитых экономиках и странах Восточной и Юго-восточной Азии. Для стран с переходной экономикой, где падение ПИИ в 2020 году составило 58 %, в 2022 году не прогнозируется значительное восстановление, которое составит всего около 10 %.</w:t>
      </w:r>
    </w:p>
    <w:p>
      <w:pPr>
        <w:spacing w:after="120"/>
        <w:jc w:val="both"/>
      </w:pPr>
      <w:r>
        <w:rPr>
          <w:rFonts w:ascii="Arial" w:cs="Arial" w:eastAsia="Arial" w:hAnsi="Arial"/>
          <w:sz w:val="24"/>
          <w:szCs w:val="24"/>
        </w:rPr>
        <w:t xml:space="preserve">Количество гринфилд инвестиций продолжит сокращение, так число объявленных сделок по таким инвестициям сократилось на 42 %. Будет увеличиваться число так называемых инфраструктурных инвестиций, включая международные инфраструктурные проекты.</w:t>
      </w:r>
    </w:p>
    <w:p>
      <w:pPr>
        <w:spacing w:after="120"/>
        <w:jc w:val="both"/>
      </w:pPr>
      <w:r>
        <w:rPr>
          <w:rFonts w:ascii="Arial" w:cs="Arial" w:eastAsia="Arial" w:hAnsi="Arial"/>
          <w:sz w:val="24"/>
          <w:szCs w:val="24"/>
        </w:rPr>
        <w:t xml:space="preserve">Несмотря на общее падение ПИИ произошел существенный рост объема финансирования стартапов во всем мире. Инвестиции в стартапы из альтернативных все больше становятся распространенным классом активов. И у самых успешных институциональных инвесторов венчурные инвестиции уже превысили классические 5–10 % портфеля.</w:t>
      </w:r>
    </w:p>
    <w:p>
      <w:pPr>
        <w:spacing w:after="120"/>
        <w:jc w:val="both"/>
      </w:pPr>
      <w:r>
        <w:rPr>
          <w:rFonts w:ascii="Arial" w:cs="Arial" w:eastAsia="Arial" w:hAnsi="Arial"/>
          <w:sz w:val="24"/>
          <w:szCs w:val="24"/>
        </w:rPr>
        <w:t xml:space="preserve">Увеличивается роль устойчивых инвестиций. Экологическое управление все значительнее влияет на принятие решений особенно среди фондов недвижимости, пенсионных фондов и инвестиционных управляющих. Это на сегодняшний день один из значимых критериев для большого количества игроков, управляющих портфелями частных инвесторов, для включения ценных бумаг компаний в инвестиционный портфель. Ключевыми отраслями, на которых сосредоточена эта инвестиционная тенденция, являются производство безуглеродной электроэнергии, транспорт, пионеры «энергетического поворота» в нефтегазовом секторе, а также сельское хозяйство/пищевое производство.</w:t>
      </w:r>
    </w:p>
    <w:p>
      <w:pPr>
        <w:spacing w:after="120"/>
        <w:jc w:val="both"/>
      </w:pPr>
      <w:r>
        <w:rPr>
          <w:rFonts w:ascii="Arial" w:cs="Arial" w:eastAsia="Arial" w:hAnsi="Arial"/>
          <w:sz w:val="24"/>
          <w:szCs w:val="24"/>
        </w:rPr>
        <w:t xml:space="preserve">Происходит значительное глобальное увеличение инвестиций в сектор здравоохранения. Это касается не только производителей вакцин, но и других областей, включая смежные сектора экономики, например, производителей холодильного медицинского оборудования. Увеличение возрастающей продолжительности жизни населения будет продолжать стимулировать возможности для бизнеса и инвестирования в течение многих лет. В частности, увеличение среднего возраста населения в развивающихся странах будет происходить со скоростью, которую большинство пока не осознает.</w:t>
      </w:r>
    </w:p>
    <w:p>
      <w:pPr>
        <w:spacing w:after="120"/>
        <w:jc w:val="both"/>
      </w:pPr>
      <w:r>
        <w:rPr>
          <w:rFonts w:ascii="Arial" w:cs="Arial" w:eastAsia="Arial" w:hAnsi="Arial"/>
          <w:sz w:val="24"/>
          <w:szCs w:val="24"/>
        </w:rPr>
        <w:t xml:space="preserve">Прогнозируется всплеск инвестиций в сектор туризма. Сдерживаемый спрос на путешествия будет способствовать росту авиакомпаний, отелей и даже круизных линий.</w:t>
      </w:r>
    </w:p>
    <w:p>
      <w:pPr>
        <w:spacing w:after="120"/>
        <w:jc w:val="both"/>
      </w:pPr>
      <w:r>
        <w:rPr>
          <w:rFonts w:ascii="Arial" w:cs="Arial" w:eastAsia="Arial" w:hAnsi="Arial"/>
          <w:sz w:val="24"/>
          <w:szCs w:val="24"/>
        </w:rPr>
        <w:t xml:space="preserve">Хотя по прогнозам будет происходить замедление роста технологических акций, которые продемонстрировали впечатляющий рост, постоянные технологические инновации, а также проблемы, выявленные коронавирусным кризисом, продолжают превращать технологии в привлекательный сектор для инвесторов. Драйверы этой инвестиционной темы – как с точки зрения спроса, так и с точки зрения технологического прогресса – остаются сильными, и фирмы, работающие в этом направлении, должны извлечь для себя пользу в ближайшие годы.</w:t>
      </w:r>
    </w:p>
    <w:p>
      <w:pPr>
        <w:spacing w:after="120"/>
        <w:jc w:val="both"/>
      </w:pPr>
      <w:r>
        <w:rPr>
          <w:rFonts w:ascii="Arial" w:cs="Arial" w:eastAsia="Arial" w:hAnsi="Arial"/>
          <w:sz w:val="24"/>
          <w:szCs w:val="24"/>
        </w:rPr>
        <w:t xml:space="preserve">Среди долгосрочных тенденций глобального инвестирования на следующее десятилетие можно выделить следующие направления:</w:t>
      </w:r>
    </w:p>
    <w:p>
      <w:pPr>
        <w:spacing w:after="120"/>
        <w:jc w:val="both"/>
      </w:pPr>
      <w:r>
        <w:rPr>
          <w:rFonts w:ascii="Arial" w:cs="Arial" w:eastAsia="Arial" w:hAnsi="Arial"/>
          <w:sz w:val="24"/>
          <w:szCs w:val="24"/>
        </w:rPr>
        <w:t xml:space="preserve">1) процесс возвращения производств, ранее перенесенных в страны с более низкими издержками производства, в развитые страны (решоринг);</w:t>
      </w:r>
    </w:p>
    <w:p>
      <w:pPr>
        <w:spacing w:after="120"/>
        <w:jc w:val="both"/>
      </w:pPr>
      <w:r>
        <w:rPr>
          <w:rFonts w:ascii="Arial" w:cs="Arial" w:eastAsia="Arial" w:hAnsi="Arial"/>
          <w:sz w:val="24"/>
          <w:szCs w:val="24"/>
        </w:rPr>
        <w:t xml:space="preserve">2) автоматизация с использованием робототехники;</w:t>
      </w:r>
    </w:p>
    <w:p>
      <w:pPr>
        <w:spacing w:after="120"/>
        <w:jc w:val="both"/>
      </w:pPr>
      <w:r>
        <w:rPr>
          <w:rFonts w:ascii="Arial" w:cs="Arial" w:eastAsia="Arial" w:hAnsi="Arial"/>
          <w:sz w:val="24"/>
          <w:szCs w:val="24"/>
        </w:rPr>
        <w:t xml:space="preserve">3) расширение цифровизации;</w:t>
      </w:r>
    </w:p>
    <w:p>
      <w:pPr>
        <w:spacing w:after="120"/>
        <w:jc w:val="both"/>
      </w:pPr>
      <w:r>
        <w:rPr>
          <w:rFonts w:ascii="Arial" w:cs="Arial" w:eastAsia="Arial" w:hAnsi="Arial"/>
          <w:sz w:val="24"/>
          <w:szCs w:val="24"/>
        </w:rPr>
        <w:t xml:space="preserve">4) технологии 3D-печати;</w:t>
      </w:r>
    </w:p>
    <w:p>
      <w:pPr>
        <w:spacing w:after="120"/>
        <w:jc w:val="both"/>
      </w:pPr>
      <w:r>
        <w:rPr>
          <w:rFonts w:ascii="Arial" w:cs="Arial" w:eastAsia="Arial" w:hAnsi="Arial"/>
          <w:sz w:val="24"/>
          <w:szCs w:val="24"/>
        </w:rPr>
        <w:t xml:space="preserve">5) регионализация и уменьшение длины цепочек поставок.</w:t>
      </w:r>
    </w:p>
    <w:p>
      <w:pPr>
        <w:spacing w:after="120"/>
        <w:jc w:val="both"/>
      </w:pPr>
      <w:r>
        <w:rPr>
          <w:rFonts w:ascii="Arial" w:cs="Arial" w:eastAsia="Arial" w:hAnsi="Arial"/>
          <w:sz w:val="24"/>
          <w:szCs w:val="24"/>
        </w:rPr>
        <w:t xml:space="preserve">Все эти факторы значительно сокращают или практически нивелируют значение дешевой рабочей силы, за которой международные компании шли на процесс переноса производств в развивающиеся страны. Для развивающихся стран это означает деиндустриализацию. Встраивание в глобальные цепочки добавленной стоимости и освоение в них производства с высокой добавленной стоимостью становится все более трудной задачей. Географическая концентрация добавленной стоимости уменьшится. Она будет означать переход от глобальных инвестиций к региональным инвестициям.</w:t>
      </w:r>
    </w:p>
    <w:p>
      <w:pPr>
        <w:spacing w:after="120"/>
        <w:jc w:val="both"/>
      </w:pPr>
      <w:r>
        <w:rPr>
          <w:rFonts w:ascii="Arial" w:cs="Arial" w:eastAsia="Arial" w:hAnsi="Arial"/>
          <w:sz w:val="24"/>
          <w:szCs w:val="24"/>
        </w:rPr>
        <w:t xml:space="preserve">Таким образом, странам, которые хотят быть конкурентоспособными в борьбе за мировые инвестиционные потоки в следующее десятилетие, необходимо изменить стратегии привлечения инвестиций, повысив внимание развитию инфраструктуры и услуг. Инвестиции, направленные на использование факторов производства, ресурсов и дешевой рабочей силы, все еще важны, но возможности привлечения таких инвестиций сужаются, и эта тенденция сохранится в будущем. Кризис, вызванный пандемией COVID-19, усугубил уже обозначившиеся проблемы в системе международного производства, возникшие в результате новой промышленной революции, усиления экономического национализма и императива устойчивости. Десятилетие до 2030 года станет десятилетием трансформации международного производства и значительного изменения направлений международных инвестиционных потоков.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Привлечение инвестиций в приоритетные отрасли и проекты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условиях ограниченных финансовых, человеческих и других ресурсов государства, которые могут быть направлены на привлечение инвестиций, необходимо сосредоточить их на приоритетные направления, по которым Кыргызская Республика имеет преимущества. При этом инвесторы в другие сектора экономики имеют такие же права на защиту со стороны государства, им гарантируется отсутствие дискриминации и равный доступ к государственным услугам.</w:t>
      </w:r>
    </w:p>
    <w:p>
      <w:pPr>
        <w:spacing w:after="120"/>
        <w:jc w:val="both"/>
      </w:pPr>
      <w:r>
        <w:rPr>
          <w:rFonts w:ascii="Arial" w:cs="Arial" w:eastAsia="Arial" w:hAnsi="Arial"/>
          <w:sz w:val="24"/>
          <w:szCs w:val="24"/>
        </w:rPr>
        <w:t xml:space="preserve">Отбор приоритетных отраслей и инвестиционных проектов осуществляется с учетом сравнительных преимуществ Кыргызской Республики на региональном и международном уровнях и тенденций развития мировой экономики и международных инвестиционных потоков.</w:t>
      </w:r>
    </w:p>
    <w:p>
      <w:pPr>
        <w:spacing w:after="120"/>
        <w:jc w:val="both"/>
      </w:pPr>
      <w:r>
        <w:rPr>
          <w:rFonts w:ascii="Arial" w:cs="Arial" w:eastAsia="Arial" w:hAnsi="Arial"/>
          <w:sz w:val="24"/>
          <w:szCs w:val="24"/>
        </w:rPr>
        <w:t xml:space="preserve">     Основными сильными сторонами Кыргызской Республики на сегодня являются:</w:t>
      </w:r>
    </w:p>
    <w:p>
      <w:pPr>
        <w:spacing w:after="120"/>
        <w:jc w:val="both"/>
      </w:pPr>
      <w:r>
        <w:rPr>
          <w:rFonts w:ascii="Arial" w:cs="Arial" w:eastAsia="Arial" w:hAnsi="Arial"/>
          <w:sz w:val="24"/>
          <w:szCs w:val="24"/>
        </w:rPr>
        <w:t xml:space="preserve">– расположение на пути логистических маршрутов между Китаем, Европой, странами Южной Азии и Ближнего Востока;</w:t>
      </w:r>
    </w:p>
    <w:p>
      <w:pPr>
        <w:spacing w:after="120"/>
        <w:jc w:val="both"/>
      </w:pPr>
      <w:r>
        <w:rPr>
          <w:rFonts w:ascii="Arial" w:cs="Arial" w:eastAsia="Arial" w:hAnsi="Arial"/>
          <w:sz w:val="24"/>
          <w:szCs w:val="24"/>
        </w:rPr>
        <w:t xml:space="preserve">– наличие рекреационных ресурсов для осуществления туристической деятельности;</w:t>
      </w:r>
    </w:p>
    <w:p>
      <w:pPr>
        <w:spacing w:after="120"/>
        <w:jc w:val="both"/>
      </w:pPr>
      <w:r>
        <w:rPr>
          <w:rFonts w:ascii="Arial" w:cs="Arial" w:eastAsia="Arial" w:hAnsi="Arial"/>
          <w:sz w:val="24"/>
          <w:szCs w:val="24"/>
        </w:rPr>
        <w:t xml:space="preserve">– обеспеченность водными ресурсами высокого качества с ежегодным стоком в 50 кубических километров, большого количества озер и водоемов;</w:t>
      </w:r>
    </w:p>
    <w:p>
      <w:pPr>
        <w:spacing w:after="120"/>
        <w:jc w:val="both"/>
      </w:pPr>
      <w:r>
        <w:rPr>
          <w:rFonts w:ascii="Arial" w:cs="Arial" w:eastAsia="Arial" w:hAnsi="Arial"/>
          <w:sz w:val="24"/>
          <w:szCs w:val="24"/>
        </w:rPr>
        <w:t xml:space="preserve">– гидроэнергетический потенциал в размере 140 млрд кВт.ч в год;</w:t>
      </w:r>
    </w:p>
    <w:p>
      <w:pPr>
        <w:spacing w:after="120"/>
        <w:jc w:val="both"/>
      </w:pPr>
      <w:r>
        <w:rPr>
          <w:rFonts w:ascii="Arial" w:cs="Arial" w:eastAsia="Arial" w:hAnsi="Arial"/>
          <w:sz w:val="24"/>
          <w:szCs w:val="24"/>
        </w:rPr>
        <w:t xml:space="preserve">– наличие минерально-сырьевой базы по золоту и отдельным видам природных ресурсов;</w:t>
      </w:r>
    </w:p>
    <w:p>
      <w:pPr>
        <w:spacing w:after="120"/>
        <w:jc w:val="both"/>
      </w:pPr>
      <w:r>
        <w:rPr>
          <w:rFonts w:ascii="Arial" w:cs="Arial" w:eastAsia="Arial" w:hAnsi="Arial"/>
          <w:sz w:val="24"/>
          <w:szCs w:val="24"/>
        </w:rPr>
        <w:t xml:space="preserve">– благоприятные природно-климатические условия для получения высококачественной мясо-молочной продукции и выращивания отдельных видов сельскохозяйственных культур;</w:t>
      </w:r>
    </w:p>
    <w:p>
      <w:pPr>
        <w:spacing w:after="120"/>
        <w:jc w:val="both"/>
      </w:pPr>
      <w:r>
        <w:rPr>
          <w:rFonts w:ascii="Arial" w:cs="Arial" w:eastAsia="Arial" w:hAnsi="Arial"/>
          <w:sz w:val="24"/>
          <w:szCs w:val="24"/>
        </w:rPr>
        <w:t xml:space="preserve">– наличие исторически сложившихся квалифицированных кадров и инфраструктуры в швейной промышленности.</w:t>
      </w:r>
    </w:p>
    <w:p>
      <w:pPr>
        <w:spacing w:after="120"/>
        <w:jc w:val="both"/>
      </w:pPr>
      <w:r>
        <w:rPr>
          <w:rFonts w:ascii="Arial" w:cs="Arial" w:eastAsia="Arial" w:hAnsi="Arial"/>
          <w:sz w:val="24"/>
          <w:szCs w:val="24"/>
        </w:rPr>
        <w:t xml:space="preserve">Исходя из этого, основными приоритетными направлениями привлечения инвестиций в Кыргызскую Республику являются логистическая инфраструктура, отдельные отрасли сельского хозяйства и переработки сельскохозяйственной продукции, гидроэнергетика, туризм, горнодобывающая отрасль, легкая промышленности.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3.1. Осуществление транспортно-логистических проектов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важнейших приоритетов для привлечения инвестиций является транспортно-логистическая интеграция и решение проблемы транспортной изолированности страны.</w:t>
      </w:r>
    </w:p>
    <w:p>
      <w:pPr>
        <w:spacing w:after="120"/>
        <w:jc w:val="both"/>
      </w:pPr>
      <w:r>
        <w:rPr>
          <w:rFonts w:ascii="Arial" w:cs="Arial" w:eastAsia="Arial" w:hAnsi="Arial"/>
          <w:sz w:val="24"/>
          <w:szCs w:val="24"/>
        </w:rPr>
        <w:t xml:space="preserve">Прежде всего в предстоящий пятилетний период необходимо решить вопрос о запуске строительства стратегического проекта «Железная дорога Китай – Кыргызстан – Узбекистан».</w:t>
      </w:r>
    </w:p>
    <w:p>
      <w:pPr>
        <w:spacing w:after="120"/>
        <w:jc w:val="both"/>
      </w:pPr>
      <w:r>
        <w:rPr>
          <w:rFonts w:ascii="Arial" w:cs="Arial" w:eastAsia="Arial" w:hAnsi="Arial"/>
          <w:sz w:val="24"/>
          <w:szCs w:val="24"/>
        </w:rPr>
        <w:t xml:space="preserve">Поддержка транспортных автомагистралей и международных коридоров также будет в приоритете политики государства.</w:t>
      </w:r>
    </w:p>
    <w:p>
      <w:pPr>
        <w:spacing w:after="120"/>
        <w:jc w:val="both"/>
      </w:pPr>
      <w:r>
        <w:rPr>
          <w:rFonts w:ascii="Arial" w:cs="Arial" w:eastAsia="Arial" w:hAnsi="Arial"/>
          <w:sz w:val="24"/>
          <w:szCs w:val="24"/>
        </w:rPr>
        <w:t xml:space="preserve">Государством будут созданы условия (в том числе выделение земельных участков) для образования современно оборудованного мультимодального грузового хаба, объединяющего авиа, железнодорожный и автомобильный транспорт.</w:t>
      </w:r>
    </w:p>
    <w:p>
      <w:pPr>
        <w:spacing w:after="120"/>
        <w:jc w:val="both"/>
      </w:pPr>
      <w:r>
        <w:rPr>
          <w:rFonts w:ascii="Arial" w:cs="Arial" w:eastAsia="Arial" w:hAnsi="Arial"/>
          <w:sz w:val="24"/>
          <w:szCs w:val="24"/>
        </w:rPr>
        <w:t xml:space="preserve">Будет продолжена либерализация в сфере авиационного транспорта с целью максимального встраивания страны в международные авиамаршруты как с точки зрения пассажироперевозок, так и грузоперевозок. Необходимо найти признанного международного инвестора для создания и развития карго-центра на базе международного аэропорта «Манас» для оказания международных логистических услуг. На базе международного аэропорта «Ош» будет сформирован центр пассажироперевозок Ферганской долины. На базе аэропорта «Тамчи» будет создан почтовый логистический центр, интегрированный в международные почтовые и торговые потоки. В сфере развития транспортно-логистической инфраструктуры будут внедрены современные цифровые технологии, обеспечивающие бесшовные транзитные коридоры.</w:t>
      </w:r>
    </w:p>
    <w:p>
      <w:pPr>
        <w:spacing w:after="120"/>
        <w:jc w:val="both"/>
      </w:pPr>
      <w:r>
        <w:rPr>
          <w:rFonts w:ascii="Arial" w:cs="Arial" w:eastAsia="Arial" w:hAnsi="Arial"/>
          <w:sz w:val="24"/>
          <w:szCs w:val="24"/>
        </w:rPr>
        <w:t xml:space="preserve">Для преодоления высоких рисков зависимости бюджета дорожной отрасли от внешней помощи иностранных государств и международных финансовых институтов. Будут привлекаться частные инвестиции в автодорожную инфраструктуру, включая создание платных автомобильных дорог и дорожных объектов с применением механизма государственно-частного партнерства.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Приоритетные инвестиционные проекты:</w:t>
      </w:r>
    </w:p>
    <w:p>
      <w:pPr>
        <w:spacing w:after="120"/>
        <w:jc w:val="both"/>
      </w:pPr>
      <w:r>
        <w:rPr>
          <w:rFonts w:ascii="Arial" w:cs="Arial" w:eastAsia="Arial" w:hAnsi="Arial"/>
          <w:sz w:val="24"/>
          <w:szCs w:val="24"/>
        </w:rPr>
        <w:t xml:space="preserve">1) строительство железной дороги Китай – Кыргызстан – Узбекистан;</w:t>
      </w:r>
    </w:p>
    <w:p>
      <w:pPr>
        <w:spacing w:after="120"/>
        <w:jc w:val="both"/>
      </w:pPr>
      <w:r>
        <w:rPr>
          <w:rFonts w:ascii="Arial" w:cs="Arial" w:eastAsia="Arial" w:hAnsi="Arial"/>
          <w:sz w:val="24"/>
          <w:szCs w:val="24"/>
        </w:rPr>
        <w:t xml:space="preserve">2) строительство 4-й нитки газопровода Центральная Азия – Китай;</w:t>
      </w:r>
    </w:p>
    <w:p>
      <w:pPr>
        <w:spacing w:after="120"/>
        <w:jc w:val="both"/>
      </w:pPr>
      <w:r>
        <w:rPr>
          <w:rFonts w:ascii="Arial" w:cs="Arial" w:eastAsia="Arial" w:hAnsi="Arial"/>
          <w:sz w:val="24"/>
          <w:szCs w:val="24"/>
        </w:rPr>
        <w:t xml:space="preserve">3) реконструкция международных аэропортов в Бишкеке и Оше со строительством карго-терминалов;</w:t>
      </w:r>
    </w:p>
    <w:p>
      <w:pPr>
        <w:spacing w:after="120"/>
        <w:jc w:val="both"/>
      </w:pPr>
      <w:r>
        <w:rPr>
          <w:rFonts w:ascii="Arial" w:cs="Arial" w:eastAsia="Arial" w:hAnsi="Arial"/>
          <w:sz w:val="24"/>
          <w:szCs w:val="24"/>
        </w:rPr>
        <w:t xml:space="preserve">4) строительство торгово-логистического комплекса в СЭЗ «Нарын»;</w:t>
      </w:r>
    </w:p>
    <w:p>
      <w:pPr>
        <w:spacing w:after="120"/>
        <w:jc w:val="both"/>
      </w:pPr>
      <w:r>
        <w:rPr>
          <w:rFonts w:ascii="Arial" w:cs="Arial" w:eastAsia="Arial" w:hAnsi="Arial"/>
          <w:sz w:val="24"/>
          <w:szCs w:val="24"/>
        </w:rPr>
        <w:t xml:space="preserve">5) строительство мультимодального транспортно-логистического терминала в Чуйской и Ошской областях, включая складские комплексы международного уровня.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Развитие туризма и туристической инфраструктуры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туристического сектора будет базироваться на кластерном подходе. Государство сформирует условия для запуска нескольких больших туристических кластеров с горнолыжной специализацией на базе г. Каракол, историко-культурной – на базе г. Ош, рекреационной специализацией – на базе г. Джалал-Абад. Также необходимо запустить кластер «медицинский туризм», ориентированный на оказание реабилитационных услуг, основанный на природно-климатических особенностях страны и создании соответствующей инфраструктуры. Будет проведена модернизация базовых компонентов туристической инфраструктуры и приведение их в соответствие с международными экологическими стандартами.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Приоритетные инвестиционные проекты:</w:t>
      </w:r>
    </w:p>
    <w:p>
      <w:pPr>
        <w:spacing w:after="120"/>
        <w:jc w:val="both"/>
      </w:pPr>
      <w:r>
        <w:rPr>
          <w:rFonts w:ascii="Arial" w:cs="Arial" w:eastAsia="Arial" w:hAnsi="Arial"/>
          <w:sz w:val="24"/>
          <w:szCs w:val="24"/>
        </w:rPr>
        <w:t xml:space="preserve">1) реализация горнолыжного кластера в Караколе;</w:t>
      </w:r>
    </w:p>
    <w:p>
      <w:pPr>
        <w:spacing w:after="120"/>
        <w:jc w:val="both"/>
      </w:pPr>
      <w:r>
        <w:rPr>
          <w:rFonts w:ascii="Arial" w:cs="Arial" w:eastAsia="Arial" w:hAnsi="Arial"/>
          <w:sz w:val="24"/>
          <w:szCs w:val="24"/>
        </w:rPr>
        <w:t xml:space="preserve">2) привлечение международных брендов;</w:t>
      </w:r>
    </w:p>
    <w:p>
      <w:pPr>
        <w:spacing w:after="120"/>
        <w:jc w:val="both"/>
      </w:pPr>
      <w:r>
        <w:rPr>
          <w:rFonts w:ascii="Arial" w:cs="Arial" w:eastAsia="Arial" w:hAnsi="Arial"/>
          <w:sz w:val="24"/>
          <w:szCs w:val="24"/>
        </w:rPr>
        <w:t xml:space="preserve">3) запуск кластера «медицинский туризм».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Энергетический комплекс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сектора энергетики позволит не только привлечь инвестиции в экономику, но и является необходимым условием для развития всех других отраслей экономики. Будет проводиться постепенное снижение степени зависимости страны от углеводородных источников энергии и масштабное развитие гидроэнергетики и других альтернативных источников энергии. Для увеличения инвестиционной привлекательности сектора энергетики и преодоления значительной разницы между потреблением в отопительный и теплый периоды года будут созданы условия для экспорта энергии на новые рынки Южной Азии, а также создание единого рынка электроэнергии государств-членов ЕАЭС. Также будет осуществляться запуск малых ГЭС и других возобновляемых источников энергии с гарантированным государственным закупом электроэнергии по взаимно привлекательным тарифам и срокам. Для устойчивости сектора будет произведено повышение тарифов до уровня, обеспечивающего возврат вложенных инвестиций и получение прибыли частными инвесторами и государственными энергетическими компаниями.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Приоритетные инвестиционные проекты:</w:t>
      </w:r>
    </w:p>
    <w:p>
      <w:pPr>
        <w:spacing w:after="120"/>
        <w:jc w:val="both"/>
      </w:pPr>
      <w:r>
        <w:rPr>
          <w:rFonts w:ascii="Arial" w:cs="Arial" w:eastAsia="Arial" w:hAnsi="Arial"/>
          <w:sz w:val="24"/>
          <w:szCs w:val="24"/>
        </w:rPr>
        <w:t xml:space="preserve">1) строительство ГЭС Камбарата-1 в Джалал-Абадской области с установленной мощностью в 1860 МВт и среднегодовой выработкой 5640 млн кВт.ч;</w:t>
      </w:r>
    </w:p>
    <w:p>
      <w:pPr>
        <w:spacing w:after="120"/>
        <w:jc w:val="both"/>
      </w:pPr>
      <w:r>
        <w:rPr>
          <w:rFonts w:ascii="Arial" w:cs="Arial" w:eastAsia="Arial" w:hAnsi="Arial"/>
          <w:sz w:val="24"/>
          <w:szCs w:val="24"/>
        </w:rPr>
        <w:t xml:space="preserve">2) строительство каскада ГЭС Суусамыр – Кокомерен с установленной мощностью в 1305 МВт и среднегодовой выработкой 3317 млн кВт.ч;</w:t>
      </w:r>
    </w:p>
    <w:p>
      <w:pPr>
        <w:spacing w:after="120"/>
        <w:jc w:val="both"/>
      </w:pPr>
      <w:r>
        <w:rPr>
          <w:rFonts w:ascii="Arial" w:cs="Arial" w:eastAsia="Arial" w:hAnsi="Arial"/>
          <w:sz w:val="24"/>
          <w:szCs w:val="24"/>
        </w:rPr>
        <w:t xml:space="preserve">3) строительство Казарманского каскада ГЭС с установленной мощностью в 1160 МВт и среднегодовой выработкой 4661,6 млн кВт.ч;</w:t>
      </w:r>
    </w:p>
    <w:p>
      <w:pPr>
        <w:spacing w:after="120"/>
        <w:jc w:val="both"/>
      </w:pPr>
      <w:r>
        <w:rPr>
          <w:rFonts w:ascii="Arial" w:cs="Arial" w:eastAsia="Arial" w:hAnsi="Arial"/>
          <w:sz w:val="24"/>
          <w:szCs w:val="24"/>
        </w:rPr>
        <w:t xml:space="preserve">4) строительство Сары-Джазского каскада ГЭС с установленной мощностью в 1100 МВт и среднегодовой выработкой 4764 млн кВт.ч;</w:t>
      </w:r>
    </w:p>
    <w:p>
      <w:pPr>
        <w:spacing w:after="120"/>
        <w:jc w:val="both"/>
      </w:pPr>
      <w:r>
        <w:rPr>
          <w:rFonts w:ascii="Arial" w:cs="Arial" w:eastAsia="Arial" w:hAnsi="Arial"/>
          <w:sz w:val="24"/>
          <w:szCs w:val="24"/>
        </w:rPr>
        <w:t xml:space="preserve">5) строительство Чаткальского каскада ГЭС с установленной мощностью в 1800 МВт и среднегодовой выработкой 2650 млн кВт.ч;</w:t>
      </w:r>
    </w:p>
    <w:p>
      <w:pPr>
        <w:spacing w:after="120"/>
        <w:jc w:val="both"/>
      </w:pPr>
      <w:r>
        <w:rPr>
          <w:rFonts w:ascii="Arial" w:cs="Arial" w:eastAsia="Arial" w:hAnsi="Arial"/>
          <w:sz w:val="24"/>
          <w:szCs w:val="24"/>
        </w:rPr>
        <w:t xml:space="preserve">6) строительство Ала-Букинского каскада ГЭС с установленной мощностью в 414 МВт и среднегодовой выработкой в 1711 млн кВт.ч;</w:t>
      </w:r>
    </w:p>
    <w:p>
      <w:pPr>
        <w:spacing w:after="120"/>
        <w:jc w:val="both"/>
      </w:pPr>
      <w:r>
        <w:rPr>
          <w:rFonts w:ascii="Arial" w:cs="Arial" w:eastAsia="Arial" w:hAnsi="Arial"/>
          <w:sz w:val="24"/>
          <w:szCs w:val="24"/>
        </w:rPr>
        <w:t xml:space="preserve">7) строительство Куланакского каскада ГЭС с установленной мощностью 439 МВт и среднегодовой выработкой 2667,8 </w:t>
      </w:r>
      <w:r>
        <w:rPr>
          <w:rFonts w:ascii="Arial" w:cs="Arial" w:eastAsia="Arial" w:hAnsi="Arial"/>
          <w:sz w:val="24"/>
          <w:szCs w:val="24"/>
        </w:rPr>
        <w:t xml:space="preserve">млн</w:t>
      </w:r>
      <w:r>
        <w:rPr>
          <w:rFonts w:ascii="Arial" w:cs="Arial" w:eastAsia="Arial" w:hAnsi="Arial"/>
          <w:sz w:val="24"/>
          <w:szCs w:val="24"/>
        </w:rPr>
        <w:t xml:space="preserve"> кВт.ч;</w:t>
      </w:r>
    </w:p>
    <w:p>
      <w:pPr>
        <w:spacing w:after="120"/>
        <w:jc w:val="both"/>
      </w:pPr>
      <w:r>
        <w:rPr>
          <w:rFonts w:ascii="Arial" w:cs="Arial" w:eastAsia="Arial" w:hAnsi="Arial"/>
          <w:sz w:val="24"/>
          <w:szCs w:val="24"/>
        </w:rPr>
        <w:t xml:space="preserve">8) строительство горно-обогатительного, комбината по переработке угля на месторождении Кара-Кече.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3.4. Агропромышленный комплекс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агропромышленном комплексе будет стимулироваться развитие средних и крупных перерабатывающих комплексов, логистических центров для экспорта продукции на внешние рынки. Государство будет создавать условия для развития кластеров в области производства и переработки сельскохозяйственной продукции со следующей специализацией регионов:</w:t>
      </w:r>
    </w:p>
    <w:p>
      <w:pPr>
        <w:spacing w:after="120"/>
        <w:jc w:val="both"/>
      </w:pPr>
      <w:r>
        <w:rPr>
          <w:rFonts w:ascii="Arial" w:cs="Arial" w:eastAsia="Arial" w:hAnsi="Arial"/>
          <w:sz w:val="24"/>
          <w:szCs w:val="24"/>
        </w:rPr>
        <w:t xml:space="preserve">Баткенская </w:t>
      </w:r>
      <w:r>
        <w:rPr>
          <w:rFonts w:ascii="Arial" w:cs="Arial" w:eastAsia="Arial" w:hAnsi="Arial"/>
          <w:sz w:val="24"/>
          <w:szCs w:val="24"/>
        </w:rPr>
        <w:t xml:space="preserve">область</w:t>
      </w:r>
      <w:r>
        <w:rPr>
          <w:rFonts w:ascii="Arial" w:cs="Arial" w:eastAsia="Arial" w:hAnsi="Arial"/>
          <w:sz w:val="24"/>
          <w:szCs w:val="24"/>
        </w:rPr>
        <w:t xml:space="preserve">: плодово-ягодная продукция;</w:t>
      </w:r>
    </w:p>
    <w:p>
      <w:pPr>
        <w:spacing w:after="120"/>
        <w:jc w:val="both"/>
      </w:pPr>
      <w:r>
        <w:rPr>
          <w:rFonts w:ascii="Arial" w:cs="Arial" w:eastAsia="Arial" w:hAnsi="Arial"/>
          <w:sz w:val="24"/>
          <w:szCs w:val="24"/>
        </w:rPr>
        <w:t xml:space="preserve">Джалал-Абадская область: плодовоовощная и ягодная продукция, мясомолочное производство (в том числе производство мяса птиц), производство яиц;</w:t>
      </w:r>
    </w:p>
    <w:p>
      <w:pPr>
        <w:spacing w:after="120"/>
        <w:jc w:val="both"/>
      </w:pPr>
      <w:r>
        <w:rPr>
          <w:rFonts w:ascii="Arial" w:cs="Arial" w:eastAsia="Arial" w:hAnsi="Arial"/>
          <w:sz w:val="24"/>
          <w:szCs w:val="24"/>
        </w:rPr>
        <w:t xml:space="preserve">Иссык-Кульская область: картофель и плодово-ягодные культуры;</w:t>
      </w:r>
    </w:p>
    <w:p>
      <w:pPr>
        <w:spacing w:after="120"/>
        <w:jc w:val="both"/>
      </w:pPr>
      <w:r>
        <w:rPr>
          <w:rFonts w:ascii="Arial" w:cs="Arial" w:eastAsia="Arial" w:hAnsi="Arial"/>
          <w:sz w:val="24"/>
          <w:szCs w:val="24"/>
        </w:rPr>
        <w:t xml:space="preserve">Ошская область: плодовоовощная и ягодная продукция, мясомолочное производство (в том числе производство мяса птиц), производство яиц;</w:t>
      </w:r>
    </w:p>
    <w:p>
      <w:pPr>
        <w:spacing w:after="120"/>
        <w:jc w:val="both"/>
      </w:pPr>
      <w:r>
        <w:rPr>
          <w:rFonts w:ascii="Arial" w:cs="Arial" w:eastAsia="Arial" w:hAnsi="Arial"/>
          <w:sz w:val="24"/>
          <w:szCs w:val="24"/>
        </w:rPr>
        <w:t xml:space="preserve">Таласская область: фасоль, картофель, сахарная свекла, табак;</w:t>
      </w:r>
    </w:p>
    <w:p>
      <w:pPr>
        <w:spacing w:after="120"/>
        <w:jc w:val="both"/>
      </w:pPr>
      <w:r>
        <w:rPr>
          <w:rFonts w:ascii="Arial" w:cs="Arial" w:eastAsia="Arial" w:hAnsi="Arial"/>
          <w:sz w:val="24"/>
          <w:szCs w:val="24"/>
        </w:rPr>
        <w:t xml:space="preserve">Чуйская область: картофель и овощная продукция, мясомолочное производство (в том числе производство мяса птиц), производство яиц;</w:t>
      </w:r>
    </w:p>
    <w:p>
      <w:pPr>
        <w:spacing w:after="120"/>
        <w:jc w:val="both"/>
      </w:pPr>
      <w:r>
        <w:rPr>
          <w:rFonts w:ascii="Arial" w:cs="Arial" w:eastAsia="Arial" w:hAnsi="Arial"/>
          <w:sz w:val="24"/>
          <w:szCs w:val="24"/>
        </w:rPr>
        <w:t xml:space="preserve">Нарынская область: производство мяса крупного и мелкого рогатого скота и шерсти.</w:t>
      </w:r>
    </w:p>
    <w:p>
      <w:pPr>
        <w:spacing w:after="120"/>
        <w:jc w:val="both"/>
      </w:pPr>
      <w:r>
        <w:rPr>
          <w:rFonts w:ascii="Arial" w:cs="Arial" w:eastAsia="Arial" w:hAnsi="Arial"/>
          <w:sz w:val="24"/>
          <w:szCs w:val="24"/>
        </w:rPr>
        <w:t xml:space="preserve">Стратегическим приоритетом развития сельского хозяйства будет сохранение экологичности и ориентация на органическое производство. На государственном уровне будет активно поддерживаться рынок халал-продукции.</w:t>
      </w:r>
    </w:p>
    <w:p>
      <w:pPr>
        <w:spacing w:after="120"/>
        <w:jc w:val="both"/>
      </w:pPr>
      <w:r>
        <w:rPr>
          <w:rFonts w:ascii="Arial" w:cs="Arial" w:eastAsia="Arial" w:hAnsi="Arial"/>
          <w:sz w:val="24"/>
          <w:szCs w:val="24"/>
        </w:rPr>
        <w:t xml:space="preserve">Привлечение инвестиций будет осуществляться в направлениях, уже доказавших свою конкурентоспособность и экспортный потенциал, такие как: производство фасоли, аквакультура, мясо-молочное производство, плодоовощные культуры и другие.</w:t>
      </w:r>
    </w:p>
    <w:p>
      <w:pPr>
        <w:spacing w:after="120"/>
        <w:jc w:val="both"/>
      </w:pPr>
      <w:r>
        <w:rPr>
          <w:rFonts w:ascii="Arial" w:cs="Arial" w:eastAsia="Arial" w:hAnsi="Arial"/>
          <w:sz w:val="24"/>
          <w:szCs w:val="24"/>
        </w:rPr>
        <w:t xml:space="preserve">Для привлечения инвестиций в сельское хозяйство будет внедрена упрощенная система долгосрочной аренды сельскохозяйственных угодий для иностранных инвесторов.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Приоритетные инвестиционные проекты:</w:t>
      </w:r>
    </w:p>
    <w:p>
      <w:pPr>
        <w:spacing w:after="120"/>
        <w:jc w:val="both"/>
      </w:pPr>
      <w:r>
        <w:rPr>
          <w:rFonts w:ascii="Arial" w:cs="Arial" w:eastAsia="Arial" w:hAnsi="Arial"/>
          <w:sz w:val="24"/>
          <w:szCs w:val="24"/>
        </w:rPr>
        <w:t xml:space="preserve">1) привлечение инвестиций в производство и переработку радужной форели;</w:t>
      </w:r>
    </w:p>
    <w:p>
      <w:pPr>
        <w:spacing w:after="120"/>
        <w:jc w:val="both"/>
      </w:pPr>
      <w:r>
        <w:rPr>
          <w:rFonts w:ascii="Arial" w:cs="Arial" w:eastAsia="Arial" w:hAnsi="Arial"/>
          <w:sz w:val="24"/>
          <w:szCs w:val="24"/>
        </w:rPr>
        <w:t xml:space="preserve">2) строительство торгово-логистических центров для сортировки, хранения и переработки сельскохозяйственной продукции в Чуйской и Ошской областях;</w:t>
      </w:r>
    </w:p>
    <w:p>
      <w:pPr>
        <w:spacing w:after="120"/>
        <w:jc w:val="both"/>
      </w:pPr>
      <w:r>
        <w:rPr>
          <w:rFonts w:ascii="Arial" w:cs="Arial" w:eastAsia="Arial" w:hAnsi="Arial"/>
          <w:sz w:val="24"/>
          <w:szCs w:val="24"/>
        </w:rPr>
        <w:t xml:space="preserve">3) строительство завода по переработке фасоли в Таласской области;</w:t>
      </w:r>
    </w:p>
    <w:p>
      <w:pPr>
        <w:spacing w:after="120"/>
        <w:jc w:val="both"/>
      </w:pPr>
      <w:r>
        <w:rPr>
          <w:rFonts w:ascii="Arial" w:cs="Arial" w:eastAsia="Arial" w:hAnsi="Arial"/>
          <w:sz w:val="24"/>
          <w:szCs w:val="24"/>
        </w:rPr>
        <w:t xml:space="preserve">4) создание мясного халал-парка;</w:t>
      </w:r>
    </w:p>
    <w:p>
      <w:pPr>
        <w:spacing w:after="120"/>
        <w:jc w:val="both"/>
      </w:pPr>
      <w:r>
        <w:rPr>
          <w:rFonts w:ascii="Arial" w:cs="Arial" w:eastAsia="Arial" w:hAnsi="Arial"/>
          <w:sz w:val="24"/>
          <w:szCs w:val="24"/>
        </w:rPr>
        <w:t xml:space="preserve">5) строительство завода по переработке сахарной свеклы;</w:t>
      </w:r>
    </w:p>
    <w:p>
      <w:pPr>
        <w:spacing w:after="120"/>
        <w:jc w:val="both"/>
      </w:pPr>
      <w:r>
        <w:rPr>
          <w:rFonts w:ascii="Arial" w:cs="Arial" w:eastAsia="Arial" w:hAnsi="Arial"/>
          <w:sz w:val="24"/>
          <w:szCs w:val="24"/>
        </w:rPr>
        <w:t xml:space="preserve">6) строительство фабрики по производству растительного масла;</w:t>
      </w:r>
    </w:p>
    <w:p>
      <w:pPr>
        <w:spacing w:after="120"/>
        <w:jc w:val="both"/>
      </w:pPr>
      <w:r>
        <w:rPr>
          <w:rFonts w:ascii="Arial" w:cs="Arial" w:eastAsia="Arial" w:hAnsi="Arial"/>
          <w:sz w:val="24"/>
          <w:szCs w:val="24"/>
        </w:rPr>
        <w:t xml:space="preserve">7) производство и переработка шерсти мериноса;</w:t>
      </w:r>
    </w:p>
    <w:p>
      <w:pPr>
        <w:spacing w:after="120"/>
        <w:jc w:val="both"/>
      </w:pPr>
      <w:r>
        <w:rPr>
          <w:rFonts w:ascii="Arial" w:cs="Arial" w:eastAsia="Arial" w:hAnsi="Arial"/>
          <w:sz w:val="24"/>
          <w:szCs w:val="24"/>
        </w:rPr>
        <w:t xml:space="preserve">8) реализация кластера по урюку в Баткенской области;</w:t>
      </w:r>
    </w:p>
    <w:p>
      <w:pPr>
        <w:spacing w:after="120"/>
        <w:jc w:val="both"/>
      </w:pPr>
      <w:r>
        <w:rPr>
          <w:rFonts w:ascii="Arial" w:cs="Arial" w:eastAsia="Arial" w:hAnsi="Arial"/>
          <w:sz w:val="24"/>
          <w:szCs w:val="24"/>
        </w:rPr>
        <w:t xml:space="preserve">9) строительство завода по производству минеральных удобрений;</w:t>
      </w:r>
    </w:p>
    <w:p>
      <w:pPr>
        <w:spacing w:after="120"/>
        <w:jc w:val="both"/>
      </w:pPr>
      <w:r>
        <w:rPr>
          <w:rFonts w:ascii="Arial" w:cs="Arial" w:eastAsia="Arial" w:hAnsi="Arial"/>
          <w:sz w:val="24"/>
          <w:szCs w:val="24"/>
        </w:rPr>
        <w:t xml:space="preserve">10) реализация программы по развитию органического производства.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3.5. Горнодобывающая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Развитие горной добычи будет сконцентрировано на эффективном освоении месторождений при условии соблюдения требований законодательства по охране окружающей среды и внедрении современных горнодобывающих технологий.</w:t>
      </w:r>
    </w:p>
    <w:p>
      <w:pPr>
        <w:spacing w:after="120"/>
        <w:jc w:val="both"/>
      </w:pPr>
      <w:r>
        <w:rPr>
          <w:rFonts w:ascii="Arial" w:cs="Arial" w:eastAsia="Arial" w:hAnsi="Arial"/>
          <w:sz w:val="24"/>
          <w:szCs w:val="24"/>
        </w:rPr>
        <w:t xml:space="preserve">Действующее законодательство будет максимально гармонизировано с международными стандартами.</w:t>
      </w:r>
    </w:p>
    <w:p>
      <w:pPr>
        <w:spacing w:after="120"/>
        <w:jc w:val="both"/>
      </w:pPr>
      <w:r>
        <w:rPr>
          <w:rFonts w:ascii="Arial" w:cs="Arial" w:eastAsia="Arial" w:hAnsi="Arial"/>
          <w:sz w:val="24"/>
          <w:szCs w:val="24"/>
        </w:rPr>
        <w:t xml:space="preserve">Месторождения общегосударственного значения будут осваиваться с учетом лучших мировых практик государственной (национальной) горнодобывающей компанией и при необходимости – с привлечением инвесторов.</w:t>
      </w:r>
    </w:p>
    <w:p>
      <w:pPr>
        <w:spacing w:after="120"/>
        <w:jc w:val="both"/>
      </w:pPr>
      <w:r>
        <w:rPr>
          <w:rFonts w:ascii="Arial" w:cs="Arial" w:eastAsia="Arial" w:hAnsi="Arial"/>
          <w:sz w:val="24"/>
          <w:szCs w:val="24"/>
        </w:rPr>
        <w:t xml:space="preserve">Участие государства в проектах горной добычи даст населению и инвесторам гарантии успешного развития и снизит политические риски. Будет обеспечена прозрачность распределения финансовых средств в бюджеты всех уровней, включая в фонды развития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Приоритетные инвестиционные проекты:</w:t>
      </w:r>
    </w:p>
    <w:p>
      <w:pPr>
        <w:spacing w:after="120"/>
        <w:jc w:val="both"/>
      </w:pPr>
      <w:r>
        <w:rPr>
          <w:rFonts w:ascii="Arial" w:cs="Arial" w:eastAsia="Arial" w:hAnsi="Arial"/>
          <w:sz w:val="24"/>
          <w:szCs w:val="24"/>
        </w:rPr>
        <w:t xml:space="preserve">1) ввод в эксплуатацию обогатительной фабрики на месторождении Сары-Джаз, участки «Трудовое» и «Уч-Кошкон»;</w:t>
      </w:r>
    </w:p>
    <w:p>
      <w:pPr>
        <w:spacing w:after="120"/>
        <w:jc w:val="both"/>
      </w:pPr>
      <w:r>
        <w:rPr>
          <w:rFonts w:ascii="Arial" w:cs="Arial" w:eastAsia="Arial" w:hAnsi="Arial"/>
          <w:sz w:val="24"/>
          <w:szCs w:val="24"/>
        </w:rPr>
        <w:t xml:space="preserve">2) введение в эксплуатацию золотоизвлекательной фабрики на золоторудном месторождении Чаарат в Чаткальском районе Джалал-Абадской области;</w:t>
      </w:r>
    </w:p>
    <w:p>
      <w:pPr>
        <w:spacing w:after="120"/>
        <w:jc w:val="both"/>
      </w:pPr>
      <w:r>
        <w:rPr>
          <w:rFonts w:ascii="Arial" w:cs="Arial" w:eastAsia="Arial" w:hAnsi="Arial"/>
          <w:sz w:val="24"/>
          <w:szCs w:val="24"/>
        </w:rPr>
        <w:t xml:space="preserve">3) ввод в эксплуатацию золотоизвлекательной фабрики на участке Бучук на золоторудном месторождении Солтон-Сары в Нарынской области;</w:t>
      </w:r>
    </w:p>
    <w:p>
      <w:pPr>
        <w:spacing w:after="120"/>
        <w:jc w:val="both"/>
      </w:pPr>
      <w:r>
        <w:rPr>
          <w:rFonts w:ascii="Arial" w:cs="Arial" w:eastAsia="Arial" w:hAnsi="Arial"/>
          <w:sz w:val="24"/>
          <w:szCs w:val="24"/>
        </w:rPr>
        <w:t xml:space="preserve">4) строительство цементного завода в г. Кара-Куль Джалал-Абадской области;</w:t>
      </w:r>
    </w:p>
    <w:p>
      <w:pPr>
        <w:spacing w:after="120"/>
        <w:jc w:val="both"/>
      </w:pPr>
      <w:r>
        <w:rPr>
          <w:rFonts w:ascii="Arial" w:cs="Arial" w:eastAsia="Arial" w:hAnsi="Arial"/>
          <w:sz w:val="24"/>
          <w:szCs w:val="24"/>
        </w:rPr>
        <w:t xml:space="preserve">5) привлечение инвестиций в ОАО «Кыргызнефтегаз»;</w:t>
      </w:r>
    </w:p>
    <w:p>
      <w:pPr>
        <w:spacing w:after="120"/>
        <w:jc w:val="both"/>
      </w:pPr>
      <w:r>
        <w:rPr>
          <w:rFonts w:ascii="Arial" w:cs="Arial" w:eastAsia="Arial" w:hAnsi="Arial"/>
          <w:sz w:val="24"/>
          <w:szCs w:val="24"/>
        </w:rPr>
        <w:t xml:space="preserve">6) освоение действующих золоторудных месторождений Терек, Тереккан, Перевальное;</w:t>
      </w:r>
    </w:p>
    <w:p>
      <w:pPr>
        <w:spacing w:after="120"/>
        <w:jc w:val="both"/>
      </w:pPr>
      <w:r>
        <w:rPr>
          <w:rFonts w:ascii="Arial" w:cs="Arial" w:eastAsia="Arial" w:hAnsi="Arial"/>
          <w:sz w:val="24"/>
          <w:szCs w:val="24"/>
        </w:rPr>
        <w:t xml:space="preserve">7) ввод в эксплуатацию золоторудных месторождений Андаш, Талды-Булак.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3.6. Легкая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Важным шагом в развитии легкой промышленности должно стать формирование устойчивого спроса с перспективой выхода на международные рынки, создание условий для развития и повышения конкурентоспособности продукции легкой промышленности Кыргызской Республики.</w:t>
      </w:r>
    </w:p>
    <w:p>
      <w:pPr>
        <w:spacing w:after="120"/>
        <w:jc w:val="both"/>
      </w:pPr>
      <w:r>
        <w:rPr>
          <w:rFonts w:ascii="Arial" w:cs="Arial" w:eastAsia="Arial" w:hAnsi="Arial"/>
          <w:sz w:val="24"/>
          <w:szCs w:val="24"/>
        </w:rPr>
        <w:t xml:space="preserve">При государственной поддержке будут запущены крупные кластерные производства. Приоритетом будет привлечение международного инвестора из числа известных брендов для размещения своего производства на территории Кыргызской Республики, что позволит в перспективе сформировать собственную культуру производства товаров легкой промышленности на основе передовых технологий с формированием собственного «кыргызского бренда».</w:t>
      </w:r>
    </w:p>
    <w:p>
      <w:pPr>
        <w:spacing w:after="120"/>
        <w:jc w:val="both"/>
      </w:pPr>
      <w:r>
        <w:rPr>
          <w:rFonts w:ascii="Arial" w:cs="Arial" w:eastAsia="Arial" w:hAnsi="Arial"/>
          <w:sz w:val="24"/>
          <w:szCs w:val="24"/>
        </w:rPr>
        <w:t xml:space="preserve">Будут созданы мотивационные условия для формирования крупных швейных производств, которые обеспечат высокую производительность, широкий ассортимент продукции и объемы, востребованные торговыми сетями государств-членов ЕАЭС, включая внедрение электронной маркировки изделий.</w:t>
      </w:r>
    </w:p>
    <w:p>
      <w:pPr>
        <w:spacing w:after="120"/>
        <w:jc w:val="both"/>
      </w:pPr>
      <w:r>
        <w:rPr>
          <w:rFonts w:ascii="Arial" w:cs="Arial" w:eastAsia="Arial" w:hAnsi="Arial"/>
          <w:sz w:val="24"/>
          <w:szCs w:val="24"/>
        </w:rPr>
        <w:t xml:space="preserve">Будет производиться внедрение лизинга промышленного оборудования на льготных условиях, а также созданы условия для развития легкой промышленности на региональном уровне, путем предоставления инвестиционных лотов с пакетом разрешительных документов.</w:t>
      </w:r>
    </w:p>
    <w:p>
      <w:pPr>
        <w:spacing w:after="120"/>
        <w:jc w:val="both"/>
      </w:pPr>
      <w:r>
        <w:rPr>
          <w:rFonts w:ascii="Arial" w:cs="Arial" w:eastAsia="Arial" w:hAnsi="Arial"/>
          <w:sz w:val="24"/>
          <w:szCs w:val="24"/>
        </w:rPr>
        <w:t xml:space="preserve">На основе государственно-частного партнерства будут привлекаться инвестиции для строительства и запуска лабораторий оценки качества продукции легкой промышленности.</w:t>
      </w:r>
    </w:p>
    <w:p>
      <w:pPr>
        <w:spacing w:after="120"/>
        <w:jc w:val="both"/>
      </w:pPr>
      <w:r>
        <w:rPr>
          <w:rFonts w:ascii="Arial" w:cs="Arial" w:eastAsia="Arial" w:hAnsi="Arial"/>
          <w:sz w:val="24"/>
          <w:szCs w:val="24"/>
        </w:rPr>
        <w:t xml:space="preserve">Государство через систему профессионального технического образования будет стимулировать создание в легкой промышленности в особенности в швейном производстве значительного числа высококлассных специалистов, способных выпускать продукцию как минимум второй линии из брендовых коллекций.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Приоритетные инвестиционные проекты:</w:t>
      </w:r>
    </w:p>
    <w:p>
      <w:pPr>
        <w:spacing w:after="120"/>
        <w:jc w:val="both"/>
      </w:pPr>
      <w:r>
        <w:rPr>
          <w:rFonts w:ascii="Arial" w:cs="Arial" w:eastAsia="Arial" w:hAnsi="Arial"/>
          <w:sz w:val="24"/>
          <w:szCs w:val="24"/>
        </w:rPr>
        <w:t xml:space="preserve">1) запуск проекта «Технополис» для текстильного и швейного производства в Чуйской области;</w:t>
      </w:r>
    </w:p>
    <w:p>
      <w:pPr>
        <w:spacing w:after="120"/>
        <w:jc w:val="both"/>
      </w:pPr>
      <w:r>
        <w:rPr>
          <w:rFonts w:ascii="Arial" w:cs="Arial" w:eastAsia="Arial" w:hAnsi="Arial"/>
          <w:sz w:val="24"/>
          <w:szCs w:val="24"/>
        </w:rPr>
        <w:t xml:space="preserve">2) запуск промышленного парка в г. Ош;</w:t>
      </w:r>
    </w:p>
    <w:p>
      <w:pPr>
        <w:spacing w:after="120"/>
        <w:jc w:val="both"/>
      </w:pPr>
      <w:r>
        <w:rPr>
          <w:rFonts w:ascii="Arial" w:cs="Arial" w:eastAsia="Arial" w:hAnsi="Arial"/>
          <w:sz w:val="24"/>
          <w:szCs w:val="24"/>
        </w:rPr>
        <w:t xml:space="preserve">3) строительство и запуск лаборатории оценки качества продукции легкой промышленности;</w:t>
      </w:r>
    </w:p>
    <w:p>
      <w:pPr>
        <w:spacing w:after="120"/>
        <w:jc w:val="both"/>
      </w:pPr>
      <w:r>
        <w:rPr>
          <w:rFonts w:ascii="Arial" w:cs="Arial" w:eastAsia="Arial" w:hAnsi="Arial"/>
          <w:sz w:val="24"/>
          <w:szCs w:val="24"/>
        </w:rPr>
        <w:t xml:space="preserve">4) сривлечение международного инвестора из числа известных брендов для размещения своего производства на территории Кыргызской Республики;</w:t>
      </w:r>
    </w:p>
    <w:p>
      <w:pPr>
        <w:spacing w:after="120"/>
        <w:jc w:val="both"/>
      </w:pPr>
      <w:r>
        <w:rPr>
          <w:rFonts w:ascii="Arial" w:cs="Arial" w:eastAsia="Arial" w:hAnsi="Arial"/>
          <w:sz w:val="24"/>
          <w:szCs w:val="24"/>
        </w:rPr>
        <w:t xml:space="preserve">6) производство кожаной обуви и кожгалантерейных изделий;</w:t>
      </w:r>
    </w:p>
    <w:p>
      <w:pPr>
        <w:spacing w:after="120"/>
        <w:jc w:val="both"/>
      </w:pPr>
      <w:r>
        <w:rPr>
          <w:rFonts w:ascii="Arial" w:cs="Arial" w:eastAsia="Arial" w:hAnsi="Arial"/>
          <w:sz w:val="24"/>
          <w:szCs w:val="24"/>
        </w:rPr>
        <w:t xml:space="preserve">7) создание системы производства, заготовки, первичной обработки и реализации шерсти в Кыргызской Республике;</w:t>
      </w:r>
    </w:p>
    <w:p>
      <w:pPr>
        <w:spacing w:after="120"/>
        <w:jc w:val="both"/>
      </w:pPr>
      <w:r>
        <w:rPr>
          <w:rFonts w:ascii="Arial" w:cs="Arial" w:eastAsia="Arial" w:hAnsi="Arial"/>
          <w:sz w:val="24"/>
          <w:szCs w:val="24"/>
        </w:rPr>
        <w:t xml:space="preserve">8) строительство фабрики по производству сырья для различной фурнитуры в текстильной промышленности.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Основные направления инвестиционной политики Кыргызской Республики на 2022–2026 годы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улучшения инвестиционного климата, привлечения и удержания внутренних и внешних инвестиций, а также достижения целей Программы будут реализованы следующие направления инвестиционной политики.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4.1. Совершенствование инвестиционного законодательства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Будет унифицировано определение иностранного инвестора в различных нормативных актах в соответствии с законом об инвестициях и сняты ограничения для деятельности иностранных компаний не соответствующих успешному международному опыту.</w:t>
      </w:r>
    </w:p>
    <w:p>
      <w:pPr>
        <w:spacing w:after="120"/>
        <w:jc w:val="both"/>
      </w:pPr>
      <w:r>
        <w:rPr>
          <w:rFonts w:ascii="Arial" w:cs="Arial" w:eastAsia="Arial" w:hAnsi="Arial"/>
          <w:sz w:val="24"/>
          <w:szCs w:val="24"/>
        </w:rPr>
        <w:t xml:space="preserve">В нормативные акты общего законодательства в первую очередь кодексы будут указаны ссылки на специальные законы об инвестициях, предусматривающие предоставление льгот и гарантий для инвесторов.</w:t>
      </w:r>
    </w:p>
    <w:p>
      <w:pPr>
        <w:spacing w:after="120"/>
        <w:jc w:val="both"/>
      </w:pPr>
      <w:r>
        <w:rPr>
          <w:rFonts w:ascii="Arial" w:cs="Arial" w:eastAsia="Arial" w:hAnsi="Arial"/>
          <w:sz w:val="24"/>
          <w:szCs w:val="24"/>
        </w:rPr>
        <w:t xml:space="preserve">В законе об инвестициях будет определен порядок заключения инвестиционных соглашений, а также возможность предоставления инвестиционными соглашениями особого режима деятельности инвестора и гарантии от неблагоприятных изменений в законодательстве.</w:t>
      </w:r>
    </w:p>
    <w:p>
      <w:pPr>
        <w:spacing w:after="120"/>
        <w:jc w:val="both"/>
      </w:pPr>
      <w:r>
        <w:rPr>
          <w:rFonts w:ascii="Arial" w:cs="Arial" w:eastAsia="Arial" w:hAnsi="Arial"/>
          <w:sz w:val="24"/>
          <w:szCs w:val="24"/>
        </w:rPr>
        <w:t xml:space="preserve">Будет разработана новая редакции закона о концессиях, соответствующего наилучшим международным практикам.</w:t>
      </w:r>
    </w:p>
    <w:p>
      <w:pPr>
        <w:spacing w:after="120"/>
        <w:jc w:val="both"/>
      </w:pPr>
      <w:r>
        <w:rPr>
          <w:rFonts w:ascii="Arial" w:cs="Arial" w:eastAsia="Arial" w:hAnsi="Arial"/>
          <w:sz w:val="24"/>
          <w:szCs w:val="24"/>
        </w:rPr>
        <w:t xml:space="preserve">Будут продолжены реформы для улучшения доступа инвесторов к земле, включая гармонизацию определений во всех нормативных актах, касающихся землепользования, а также устранение действующих ограничений для права собственности или аренды, не соответствующих наилучшей международной практике. Уточнены положения о доступе к земле для иностранных инвесторов в сельском хозяйстве и указана продолжительность сроков аренды.</w:t>
      </w:r>
    </w:p>
    <w:p>
      <w:pPr>
        <w:spacing w:after="120"/>
        <w:jc w:val="both"/>
      </w:pPr>
      <w:r>
        <w:rPr>
          <w:rFonts w:ascii="Arial" w:cs="Arial" w:eastAsia="Arial" w:hAnsi="Arial"/>
          <w:sz w:val="24"/>
          <w:szCs w:val="24"/>
        </w:rPr>
        <w:t xml:space="preserve">Для масштабных инвестиций в объекты национального уровня будет создан особый режим «стратегического инвестора» с повышенными мерами поддержки и гарантиями безопасности.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4.2. Улучшение механизма разрешения инвестиционных споров и повышение уровня защиты прав инвесторов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w:t>
      </w:r>
      <w:hyperlink w:history="1" r:id="rIdy2htr9mnsc0zdbmnhqe4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инвестициях в Кыргызской Республике» будут внесены изменения, предусматривающие порядок рассмотрения жалоб инвесторов, учитывающий роль уполномоченного органа по инвестициям.</w:t>
      </w:r>
    </w:p>
    <w:p>
      <w:pPr>
        <w:spacing w:after="120"/>
        <w:jc w:val="both"/>
      </w:pPr>
      <w:r>
        <w:rPr>
          <w:rFonts w:ascii="Arial" w:cs="Arial" w:eastAsia="Arial" w:hAnsi="Arial"/>
          <w:sz w:val="24"/>
          <w:szCs w:val="24"/>
        </w:rPr>
        <w:t xml:space="preserve">Также будет принят Закон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«О бизнес-омбудсмене» с закреплением его функций по защите прав предпринимателей и обязательством для государственных органов следовать рекомендациям бизнес-омбудсмена.</w:t>
      </w:r>
    </w:p>
    <w:p>
      <w:pPr>
        <w:spacing w:after="120"/>
        <w:jc w:val="both"/>
      </w:pPr>
      <w:r>
        <w:rPr>
          <w:rFonts w:ascii="Arial" w:cs="Arial" w:eastAsia="Arial" w:hAnsi="Arial"/>
          <w:sz w:val="24"/>
          <w:szCs w:val="24"/>
        </w:rPr>
        <w:t xml:space="preserve">До завершения судебно-правовой реформы будет обеспечено разрешение споров между предпринимателями и государственными органами в третейском суде.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4.3. Развитие свободных экономических зон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Будет проведена реорганизация управления свободных экономических зон в Кыргызской Республике (далее – СЭЗ), в частности, путем привлечения коммерческих управляющих компаний, зарекомендовавших себя на мировом уровне. Данные компании получат все необходимые полномочия по привлечению инвесторов в СЭЗ, созданию условий для развития экспортоориентированных предприятий, а также расширению рынков сбыта продукции субъектов СЭЗ. Кроме того, в указанных целях будет расширена сеть транспортно-логистических центров в регионах.</w:t>
      </w:r>
    </w:p>
    <w:p>
      <w:pPr>
        <w:spacing w:after="120"/>
        <w:jc w:val="both"/>
      </w:pPr>
      <w:r>
        <w:rPr>
          <w:rFonts w:ascii="Arial" w:cs="Arial" w:eastAsia="Arial" w:hAnsi="Arial"/>
          <w:sz w:val="24"/>
          <w:szCs w:val="24"/>
        </w:rPr>
        <w:t xml:space="preserve">Одной из мер станет предоставление возможности изменения организационно-правовой формы генеральных дирекций СЭЗ. У СЭЗ появится возможность определить наиболее удобную и эффективную форму управления: учреждение, государственное предприятие или акционерное общество.</w:t>
      </w:r>
    </w:p>
    <w:p>
      <w:pPr>
        <w:spacing w:after="120"/>
        <w:jc w:val="both"/>
      </w:pPr>
      <w:r>
        <w:rPr>
          <w:rFonts w:ascii="Arial" w:cs="Arial" w:eastAsia="Arial" w:hAnsi="Arial"/>
          <w:sz w:val="24"/>
          <w:szCs w:val="24"/>
        </w:rPr>
        <w:t xml:space="preserve">Роль генеральной дирекции с административной будет заменена на управляющую с обязанностью в оказания содействия субъектам СЭЗ во взаимодействии с государственными органами и получении необходимых разрешений.</w:t>
      </w:r>
    </w:p>
    <w:p>
      <w:pPr>
        <w:spacing w:after="120"/>
        <w:jc w:val="both"/>
      </w:pPr>
      <w:r>
        <w:rPr>
          <w:rFonts w:ascii="Arial" w:cs="Arial" w:eastAsia="Arial" w:hAnsi="Arial"/>
          <w:sz w:val="24"/>
          <w:szCs w:val="24"/>
        </w:rPr>
        <w:t xml:space="preserve">Кроме изменения закона о СЭЗ необходимо осуществить постепенную трансформацию СЭЗ в многоцелевые индустриальные зоны, опираясь на качество инфраструктуры и содействие инвестициям, а не на налоговые льготы.</w:t>
      </w:r>
    </w:p>
    <w:p>
      <w:pPr>
        <w:spacing w:after="120"/>
        <w:jc w:val="both"/>
      </w:pPr>
      <w:r>
        <w:rPr>
          <w:rFonts w:ascii="Arial" w:cs="Arial" w:eastAsia="Arial" w:hAnsi="Arial"/>
          <w:sz w:val="24"/>
          <w:szCs w:val="24"/>
        </w:rPr>
        <w:t xml:space="preserve">Для расширения возможностей и перспектив развития СЭЗ в Законе Кыргызской Республики «О свободных экономических зонах» будут внедрены портовые и логистические СЭЗ.</w:t>
      </w:r>
    </w:p>
    <w:p>
      <w:pPr>
        <w:spacing w:after="120"/>
        <w:jc w:val="both"/>
      </w:pPr>
      <w:r>
        <w:rPr>
          <w:rFonts w:ascii="Arial" w:cs="Arial" w:eastAsia="Arial" w:hAnsi="Arial"/>
          <w:sz w:val="24"/>
          <w:szCs w:val="24"/>
        </w:rPr>
        <w:t xml:space="preserve">Также будет предусмотрено распространение специального налогового и правового режима в СЭЗ на всю территорию без привязки к ограждению и оснащению территории СЭЗ кроме участков, где будет применяться процедура «свободная таможенная зона».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4.4. Доступ инвесторов к инфраструктуре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Будет разработан единый регламент подключения к инфраструктуре (электросети, вода, канализация) с точным графиком подключения и требуемой оплаты, что позволит упорядочить процедуры выдачи разрешительных документов и сократить коррупционные проявления.</w:t>
      </w:r>
    </w:p>
    <w:p>
      <w:pPr>
        <w:spacing w:after="120"/>
        <w:jc w:val="both"/>
      </w:pPr>
      <w:r>
        <w:rPr>
          <w:rFonts w:ascii="Arial" w:cs="Arial" w:eastAsia="Arial" w:hAnsi="Arial"/>
          <w:sz w:val="24"/>
          <w:szCs w:val="24"/>
        </w:rPr>
        <w:t xml:space="preserve">Подключение к коммунальным сетям как и процесс получения для этого всех необходимых согласований с другими органами должно производиться сами коммунальными компаниями, что соответствует наилучшей международной практике.</w:t>
      </w:r>
    </w:p>
    <w:p>
      <w:pPr>
        <w:spacing w:after="120"/>
        <w:jc w:val="both"/>
      </w:pPr>
      <w:r>
        <w:rPr>
          <w:rFonts w:ascii="Arial" w:cs="Arial" w:eastAsia="Arial" w:hAnsi="Arial"/>
          <w:sz w:val="24"/>
          <w:szCs w:val="24"/>
        </w:rPr>
        <w:t xml:space="preserve">Будут внедрены нормы, позволяющие распределительным компаниям, включая частные, закупать электроэнергию на оптовых рынках в соседних странах.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4.5. Привлечение инвестиций через фондовый рынок, инвестиционные фонды и другие механизмы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Одним из ключевых направлений инвестиционной политики станет стимулирование трансформации сбережений граждан, включая трудовых мигрантов, в инвестиции. Будут сформированы доступные финансовые инструменты и защита инвестиций в ценные бумаги отечественных компаний через механизм страхования минимальной суммы инвестиций.</w:t>
      </w:r>
    </w:p>
    <w:p>
      <w:pPr>
        <w:spacing w:after="120"/>
        <w:jc w:val="both"/>
      </w:pPr>
      <w:r>
        <w:rPr>
          <w:rFonts w:ascii="Arial" w:cs="Arial" w:eastAsia="Arial" w:hAnsi="Arial"/>
          <w:sz w:val="24"/>
          <w:szCs w:val="24"/>
        </w:rPr>
        <w:t xml:space="preserve">Привлечение зарубежных инвесторов в рынок ценных бумаг будет стимулироваться через установление корреспондентских отношений с ведущими мировыми участниками фондовых рынков. Также с целью развития фондового рынка будет реализовано не менее 30 % акций всех государственных акционерных обществ.</w:t>
      </w:r>
    </w:p>
    <w:p>
      <w:pPr>
        <w:spacing w:after="120"/>
        <w:jc w:val="both"/>
      </w:pPr>
      <w:r>
        <w:rPr>
          <w:rFonts w:ascii="Arial" w:cs="Arial" w:eastAsia="Arial" w:hAnsi="Arial"/>
          <w:sz w:val="24"/>
          <w:szCs w:val="24"/>
        </w:rPr>
        <w:t xml:space="preserve">Для улучшения доступа к финансированию будет внедрено предоставление финансовых услуг финтех-компаниями.</w:t>
      </w:r>
    </w:p>
    <w:p>
      <w:pPr>
        <w:spacing w:after="120"/>
        <w:jc w:val="both"/>
      </w:pPr>
      <w:r>
        <w:rPr>
          <w:rFonts w:ascii="Arial" w:cs="Arial" w:eastAsia="Arial" w:hAnsi="Arial"/>
          <w:sz w:val="24"/>
          <w:szCs w:val="24"/>
        </w:rPr>
        <w:t xml:space="preserve">Государство будет проводить последовательную политику развития страховой деятельности в стране и расширения охвата страховыми услугами. В ближайшие годы будут внедрены такие продукты, как обязательное страхование автогражданской ответственности, страхование имущества. Для обеспечения обширного охвата населения страховыми услугами будет принята соответствующая нормативная база, предусматривающая введение электронного страхования. Будут созданы условия для участия страховых организаций в системе пенсионного обеспечения граждан и обязательного медицинского страхования.</w:t>
      </w:r>
    </w:p>
    <w:p>
      <w:pPr>
        <w:spacing w:after="120"/>
        <w:jc w:val="both"/>
      </w:pPr>
      <w:r>
        <w:rPr>
          <w:rFonts w:ascii="Arial" w:cs="Arial" w:eastAsia="Arial" w:hAnsi="Arial"/>
          <w:sz w:val="24"/>
          <w:szCs w:val="24"/>
        </w:rPr>
        <w:t xml:space="preserve">Будет происходить развитие венчурного финансирования в Кыргызской Республике путем изменений гражданского, налогового, банковского законодательства и законодательства об инвестиционных фондах, а также внедрение налоговых стимулов и преференций для венчурной деятельности.</w:t>
      </w:r>
    </w:p>
    <w:p>
      <w:pPr>
        <w:spacing w:after="120"/>
        <w:jc w:val="both"/>
      </w:pPr>
      <w:r>
        <w:rPr>
          <w:rFonts w:ascii="Arial" w:cs="Arial" w:eastAsia="Arial" w:hAnsi="Arial"/>
          <w:sz w:val="24"/>
          <w:szCs w:val="24"/>
        </w:rPr>
        <w:t xml:space="preserve">Также будет дана возможность аккумуляции микроинвестиций на краудфандинговых платформах, чтобы способствовать микроинвесторам в стране более безопасно инвестировать в отечественные стартапы и получить возможность стать совладельцами национальных предприятий-резидентов Кыргызской Республики.</w:t>
      </w:r>
    </w:p>
    <w:p>
      <w:pPr>
        <w:spacing w:after="120"/>
        <w:jc w:val="both"/>
      </w:pPr>
      <w:r>
        <w:rPr>
          <w:rFonts w:ascii="Arial" w:cs="Arial" w:eastAsia="Arial" w:hAnsi="Arial"/>
          <w:sz w:val="24"/>
          <w:szCs w:val="24"/>
        </w:rPr>
        <w:t xml:space="preserve">Для диверсификации притока инвестиций в нетрадиционные для Кыргызской Республики сектора экономики и максимального использования потенциала рынка по инвестициям будет рассмотрен вопрос создания инфраструктурных инвестиционных фондов.</w:t>
      </w:r>
    </w:p>
    <w:p>
      <w:pPr>
        <w:spacing w:after="120"/>
        <w:jc w:val="both"/>
      </w:pPr>
      <w:r>
        <w:rPr>
          <w:rFonts w:ascii="Arial" w:cs="Arial" w:eastAsia="Arial" w:hAnsi="Arial"/>
          <w:sz w:val="24"/>
          <w:szCs w:val="24"/>
        </w:rPr>
        <w:t xml:space="preserve">Кабинетом Министров Кыргызской Республики будет проведена работа по дополнительной капитализации ОАО «Айыл Банк», ОАО «РСК Банк», а также привлечению и дальнейшей капитализации Российско-Кыргызского Фонда развития с целью финансирования национально значимых экономических проектов. Будет запущена деятельность Узбекско-Кыргызского Фонда развития и Венгерско-Кыргызского Фонда развития.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4.6. Трудовое законодательство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Нормы Трудового кодекса Кыргызской Республики, которые не используются или слабо используются, но при этом снижают инвестиционную привлекательность страны, будут пересмотрены либо исключены из трудового законодательства, в частности требования обязательного уведомления бюро трудоустройства о вакансии и обоснованного отказа приема на работу. Установлен срок исковой давности взыскания заработной платы. Предоставлена возможность работы по срочному трудовому договору для всех категорий работников, включая дистанционную работу и работу по неполной занятости. Упрощение трудового законодательства будет способствовать сокращению неформальной занятости и теневой экономики.</w:t>
      </w:r>
    </w:p>
    <w:p>
      <w:pPr>
        <w:spacing w:after="120"/>
        <w:jc w:val="both"/>
      </w:pPr>
      <w:r>
        <w:rPr>
          <w:rFonts w:ascii="Arial" w:cs="Arial" w:eastAsia="Arial" w:hAnsi="Arial"/>
          <w:sz w:val="24"/>
          <w:szCs w:val="24"/>
        </w:rPr>
        <w:t xml:space="preserve">Учитывая задачи технологической модернизации и развития экономики, будут приняты меры по дальнейшему упрощению и совершенствованию процедур получения разрешительных документов на пребывание для компетентных и востребованных специалистов и инвесторов, являющихся гражданами зарубежных государств. Существующая система квот будет заменена составлением перечня редких и востребованных специальностей, который обеспечит компаниям возможность привлечения иностранных работников в качестве высококвалифицированных специалистов, которые могут способствовать повышению квалификации отечественных специалистов путем передачи им своего опыта. Также будет повышена прозрачность процесса рассмотрения заявки и распределения квоты.</w:t>
      </w:r>
    </w:p>
    <w:p>
      <w:pPr>
        <w:spacing w:after="120"/>
        <w:jc w:val="both"/>
      </w:pPr>
      <w:r>
        <w:rPr>
          <w:rFonts w:ascii="Arial" w:cs="Arial" w:eastAsia="Arial" w:hAnsi="Arial"/>
          <w:sz w:val="24"/>
          <w:szCs w:val="24"/>
        </w:rPr>
        <w:t xml:space="preserve">Будут устранены обременительные требования к внутрикорпоративным переводам иностранных специалистов, смягчены квалификационные требования (предоставление дипломов, сертификатов и т.п.) для технических специалистов, которые по факту имеют достаточный опыт работы в своей профессиональной сфере, и данный факт может быть подтвержден официальным письмом от предприятия, привлекающего данного специалиста.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4.7. Привлечение инвестиций в регионы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каждому региону будут идентифицированы 2–3 приоритетные отрасли на основе их конкурентных преимуществ и подготовлены инвестиционные проекты, реализация которых станет первостепенной задачей как для министерств и ведомств, так и для руководителей местных органов управления. Будут созданы специализированные институты по подготовке и оценке инвестиционных проектов в приоритетных отраслях, в том числе по повышению потенциала предпринимателей по разработке бизнес-планов.</w:t>
      </w:r>
    </w:p>
    <w:p>
      <w:pPr>
        <w:spacing w:after="120"/>
        <w:jc w:val="both"/>
      </w:pPr>
      <w:r>
        <w:rPr>
          <w:rFonts w:ascii="Arial" w:cs="Arial" w:eastAsia="Arial" w:hAnsi="Arial"/>
          <w:sz w:val="24"/>
          <w:szCs w:val="24"/>
        </w:rPr>
        <w:t xml:space="preserve">Заинтересованность органов местного самоуправления в привлечении инвестиций будет усилена путем расширения финансовой децентрализации. Доля местных бюджетов в государственном бюджете увеличена, в особенности это касается проектов в горнодобывающем секторе, где у инвесторов возникают наибольшие проблемы во взаимодействии с местным населением.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4.8. Развитие государственно-частного партнерства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связи с необходимостью снижения риска для частных инвесторов будет активно использоваться механизм государственно-частного партнерства (далее – ГЧП). Из средств Фонда финансирования подготовки проектов ГЧП будет подготовлена и начата реализация не менее 20 проектов в таких областях как: общественное здравоохранение, общественный транспорт, улучшение муниципальных и коммунальных услуг, развитие дорожной инфраструктуры, энергетика, общественное образование, спорт и туризм. Будет улучшаться нормативная база в области государственно-частного партнерства. Вместе с этим предстоит улучшение финансовой инфраструктуры ГЧП путем создания гарантийных механизмов для покрытия прямых и условных рисков по проектам ГЧП.</w:t>
      </w:r>
    </w:p>
    <w:p>
      <w:pPr>
        <w:spacing w:after="120"/>
        <w:jc w:val="both"/>
      </w:pPr>
      <w:r>
        <w:rPr>
          <w:rFonts w:ascii="Arial" w:cs="Arial" w:eastAsia="Arial" w:hAnsi="Arial"/>
          <w:sz w:val="24"/>
          <w:szCs w:val="24"/>
        </w:rPr>
        <w:t xml:space="preserve">Также будут разработаны типовые документы для проектов ГЧП в приоритетных сферах, в том числе организации дошкольных учреждений и реновации ветхих государственных зданий путем ГЧП.</w:t>
      </w:r>
    </w:p>
    <w:p>
      <w:pPr>
        <w:spacing w:after="120"/>
        <w:jc w:val="both"/>
      </w:pPr>
      <w:r>
        <w:rPr>
          <w:rFonts w:ascii="Arial" w:cs="Arial" w:eastAsia="Arial" w:hAnsi="Arial"/>
          <w:sz w:val="24"/>
          <w:szCs w:val="24"/>
        </w:rPr>
        <w:t xml:space="preserve">Будет разрабатываться цифровизация управления и развитие цифровой инфраструктуры ГЧП. Для более эффективного выполнения функций по инициированию, продвижению и подготовке проектов ГЧП будет осуществлены разработка и запуск единого портала по государственно-частному партнерству. Данный портал позволит достичь сокращения времени на стадиях зондирования, скрининга и инициирования проектов ГЧП, в том числе позволяя дистанционно инструктировать как представителей государственных органов, так и представителей бизнес-среды в вопросах, касающихся механизмов ГЧП, объясняя дальнейшие шаги на различных стадиях продвижения проектов ГЧП, давая советы по разрешению спорных вопросов и описывая методологию ГЧП. Кроме того, данный портал будет использоваться для проведения онлайн-обучения государственных служащих и представителей бизнеса принципам и основам ГЧП, распространяя механизмы ГЧП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4.9. Привлечение устойчивых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Будут широко использоваться устойчивые инвестиции, привлекаемые в рамках реализации Целей устойчивого развития, с особым упором на проекты, связанные с климатическим финансированием, на которые в рамках обязательств, принятых в реализацию Парижского Соглашения, выделяются значительные ресурсы международных партнеров. Для этого в рамках климатической инвестиционной программы будет подготовлен и реализован пакет инвестиционных предложений отвечающих требованиям для финансирования из Зеленого климатического фонда и других международных двухсторонних доноров и партнеров, включая:</w:t>
      </w:r>
    </w:p>
    <w:p>
      <w:pPr>
        <w:spacing w:after="120"/>
        <w:jc w:val="both"/>
      </w:pPr>
      <w:r>
        <w:rPr>
          <w:rFonts w:ascii="Arial" w:cs="Arial" w:eastAsia="Arial" w:hAnsi="Arial"/>
          <w:sz w:val="24"/>
          <w:szCs w:val="24"/>
        </w:rPr>
        <w:t xml:space="preserve">1) повышение качества предоставления климатического обслуживания;</w:t>
      </w:r>
    </w:p>
    <w:p>
      <w:pPr>
        <w:spacing w:after="120"/>
        <w:jc w:val="both"/>
      </w:pPr>
      <w:r>
        <w:rPr>
          <w:rFonts w:ascii="Arial" w:cs="Arial" w:eastAsia="Arial" w:hAnsi="Arial"/>
          <w:sz w:val="24"/>
          <w:szCs w:val="24"/>
        </w:rPr>
        <w:t xml:space="preserve">2) усиление продовольственной безопасности за счет сельского хозяйства путем усовершенствования практики в водном хозяйстве, землепользовании и сельском хозяйстве;</w:t>
      </w:r>
    </w:p>
    <w:p>
      <w:pPr>
        <w:spacing w:after="120"/>
        <w:jc w:val="both"/>
      </w:pPr>
      <w:r>
        <w:rPr>
          <w:rFonts w:ascii="Arial" w:cs="Arial" w:eastAsia="Arial" w:hAnsi="Arial"/>
          <w:sz w:val="24"/>
          <w:szCs w:val="24"/>
        </w:rPr>
        <w:t xml:space="preserve">3) обеспечение климатической устойчивости инфраструктуры энергоснабжения;</w:t>
      </w:r>
    </w:p>
    <w:p>
      <w:pPr>
        <w:spacing w:after="120"/>
        <w:jc w:val="both"/>
      </w:pPr>
      <w:r>
        <w:rPr>
          <w:rFonts w:ascii="Arial" w:cs="Arial" w:eastAsia="Arial" w:hAnsi="Arial"/>
          <w:sz w:val="24"/>
          <w:szCs w:val="24"/>
        </w:rPr>
        <w:t xml:space="preserve">4) обеспечение климатической устойчивости транспортной инфраструктуры;</w:t>
      </w:r>
    </w:p>
    <w:p>
      <w:pPr>
        <w:spacing w:after="120"/>
        <w:jc w:val="both"/>
      </w:pPr>
      <w:r>
        <w:rPr>
          <w:rFonts w:ascii="Arial" w:cs="Arial" w:eastAsia="Arial" w:hAnsi="Arial"/>
          <w:sz w:val="24"/>
          <w:szCs w:val="24"/>
        </w:rPr>
        <w:t xml:space="preserve">5) обеспечение климатической устойчивости муниципального водоснабжения;</w:t>
      </w:r>
    </w:p>
    <w:p>
      <w:pPr>
        <w:spacing w:after="120"/>
        <w:jc w:val="both"/>
      </w:pPr>
      <w:r>
        <w:rPr>
          <w:rFonts w:ascii="Arial" w:cs="Arial" w:eastAsia="Arial" w:hAnsi="Arial"/>
          <w:sz w:val="24"/>
          <w:szCs w:val="24"/>
        </w:rPr>
        <w:t xml:space="preserve">6) обеспечение климатической устойчивости зданий;</w:t>
      </w:r>
    </w:p>
    <w:p>
      <w:pPr>
        <w:spacing w:after="120"/>
        <w:jc w:val="both"/>
      </w:pPr>
      <w:r>
        <w:rPr>
          <w:rFonts w:ascii="Arial" w:cs="Arial" w:eastAsia="Arial" w:hAnsi="Arial"/>
          <w:sz w:val="24"/>
          <w:szCs w:val="24"/>
        </w:rPr>
        <w:t xml:space="preserve">7) усиление адаптации к изменению климата в здравоохранении;</w:t>
      </w:r>
    </w:p>
    <w:p>
      <w:pPr>
        <w:spacing w:after="120"/>
        <w:jc w:val="both"/>
      </w:pPr>
      <w:r>
        <w:rPr>
          <w:rFonts w:ascii="Arial" w:cs="Arial" w:eastAsia="Arial" w:hAnsi="Arial"/>
          <w:sz w:val="24"/>
          <w:szCs w:val="24"/>
        </w:rPr>
        <w:t xml:space="preserve">8) усиление адаптации к изменению климата в недропользовании;</w:t>
      </w:r>
    </w:p>
    <w:p>
      <w:pPr>
        <w:spacing w:after="120"/>
        <w:jc w:val="both"/>
      </w:pPr>
      <w:r>
        <w:rPr>
          <w:rFonts w:ascii="Arial" w:cs="Arial" w:eastAsia="Arial" w:hAnsi="Arial"/>
          <w:sz w:val="24"/>
          <w:szCs w:val="24"/>
        </w:rPr>
        <w:t xml:space="preserve">9) расширение участия частного сектора в адаптации к изменению климата;</w:t>
      </w:r>
    </w:p>
    <w:p>
      <w:pPr>
        <w:spacing w:after="120"/>
        <w:jc w:val="both"/>
      </w:pPr>
      <w:r>
        <w:rPr>
          <w:rFonts w:ascii="Arial" w:cs="Arial" w:eastAsia="Arial" w:hAnsi="Arial"/>
          <w:sz w:val="24"/>
          <w:szCs w:val="24"/>
        </w:rPr>
        <w:t xml:space="preserve">10) усиление адаптации к изменению климата в лесном хозяйстве и биоразнообразии;</w:t>
      </w:r>
    </w:p>
    <w:p>
      <w:pPr>
        <w:spacing w:after="120"/>
        <w:jc w:val="both"/>
      </w:pPr>
      <w:r>
        <w:rPr>
          <w:rFonts w:ascii="Arial" w:cs="Arial" w:eastAsia="Arial" w:hAnsi="Arial"/>
          <w:sz w:val="24"/>
          <w:szCs w:val="24"/>
        </w:rPr>
        <w:t xml:space="preserve">11) усиление адаптации в секторе чрезвычайных ситуаций.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Совершенствование институциональных механизмов по работе с инвесторами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органом ответственным за привлечение инвестиций и работу с инвесторами будет уполномоченный орган по инвестициям, который получит широкий набор инструментов для работы с инвесторами, включая возможность предоставления налоговых льгот инвесторам, субсидий и софинансирования из государственных резервных фондов и иные формы поддержки и стимулирования инвесторов.</w:t>
      </w:r>
    </w:p>
    <w:p>
      <w:pPr>
        <w:spacing w:after="120"/>
        <w:jc w:val="both"/>
      </w:pPr>
      <w:r>
        <w:rPr>
          <w:rFonts w:ascii="Arial" w:cs="Arial" w:eastAsia="Arial" w:hAnsi="Arial"/>
          <w:sz w:val="24"/>
          <w:szCs w:val="24"/>
        </w:rPr>
        <w:t xml:space="preserve">Уполномоченный орган по инвестициям получит возможность предоставлять реальные услуги по принципу «единого окна» стратегическим инвесторам. Его полномочия будут детально расписаны в Законе </w:t>
      </w:r>
      <w:r>
        <w:rPr>
          <w:rFonts w:ascii="Arial" w:cs="Arial" w:eastAsia="Arial" w:hAnsi="Arial"/>
          <w:sz w:val="24"/>
          <w:szCs w:val="24"/>
        </w:rPr>
        <w:t xml:space="preserve">Кыргызской Республики</w:t>
      </w:r>
      <w:r>
        <w:rPr>
          <w:rFonts w:ascii="Arial" w:cs="Arial" w:eastAsia="Arial" w:hAnsi="Arial"/>
          <w:sz w:val="24"/>
          <w:szCs w:val="24"/>
        </w:rPr>
        <w:t xml:space="preserve"> «Об инвестициях в Кыргызской Республике», включая вопросы выдачи инвестиционных виз, подготовки и реализации инвестиционных соглашений, предоставления инвесторам инвестиционных лотов, выдаче в ряде случаев лицензий, разрешений, участии в разрешении инвестиционных споров, координации действий других государственных органов, отвечающих за работу с инвесторами.</w:t>
      </w:r>
    </w:p>
    <w:p>
      <w:pPr>
        <w:spacing w:after="120"/>
        <w:jc w:val="both"/>
      </w:pPr>
      <w:r>
        <w:rPr>
          <w:rFonts w:ascii="Arial" w:cs="Arial" w:eastAsia="Arial" w:hAnsi="Arial"/>
          <w:sz w:val="24"/>
          <w:szCs w:val="24"/>
        </w:rPr>
        <w:t xml:space="preserve">После внесений изменений </w:t>
      </w:r>
      <w:r>
        <w:rPr>
          <w:rFonts w:ascii="Arial" w:cs="Arial" w:eastAsia="Arial" w:hAnsi="Arial"/>
          <w:sz w:val="24"/>
          <w:szCs w:val="24"/>
        </w:rPr>
        <w:t xml:space="preserve">в Закон Кыргызской Республики</w:t>
      </w:r>
      <w:r>
        <w:rPr>
          <w:rFonts w:ascii="Arial" w:cs="Arial" w:eastAsia="Arial" w:hAnsi="Arial"/>
          <w:sz w:val="24"/>
          <w:szCs w:val="24"/>
        </w:rPr>
        <w:t xml:space="preserve"> «Об инвестициях в Кыргызской Республике» будет осуществлена ревизия функций государственных органов с целью усиления координирующей роли уполномоченного органа при реализации инвестиционных проектов.</w:t>
      </w:r>
    </w:p>
    <w:p>
      <w:pPr>
        <w:spacing w:after="120"/>
        <w:jc w:val="both"/>
      </w:pPr>
      <w:r>
        <w:rPr>
          <w:rFonts w:ascii="Arial" w:cs="Arial" w:eastAsia="Arial" w:hAnsi="Arial"/>
          <w:sz w:val="24"/>
          <w:szCs w:val="24"/>
        </w:rPr>
        <w:t xml:space="preserve">В уполномоченном органе по инвестициям будет создан проектный офис, функцией которого будет разработка инвестиционных предложений, включая разработку предварительных технико-экономических обоснований и технико-экономических обоснований для стратегических инвестиционных проектов, проведение переговоров с инвесторами, имеющими мандат для работы в регионе Центральной Азии, продвижение и сопровождение инвестиционных проектов. Также будет внедрена электронная система взаимодействия с инвесторами.</w:t>
      </w:r>
    </w:p>
    <w:p>
      <w:pPr>
        <w:spacing w:after="120"/>
        <w:jc w:val="both"/>
      </w:pPr>
      <w:r>
        <w:rPr>
          <w:rFonts w:ascii="Arial" w:cs="Arial" w:eastAsia="Arial" w:hAnsi="Arial"/>
          <w:sz w:val="24"/>
          <w:szCs w:val="24"/>
        </w:rPr>
        <w:t xml:space="preserve">Все инвестиционные проекты будут разделены на три группы:</w:t>
      </w:r>
    </w:p>
    <w:p>
      <w:pPr>
        <w:spacing w:after="120"/>
        <w:jc w:val="both"/>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b/>
          <w:bCs/>
          <w:sz w:val="24"/>
          <w:szCs w:val="24"/>
        </w:rPr>
        <w:t xml:space="preserve">Национальные</w:t>
      </w:r>
      <w:r>
        <w:rPr>
          <w:rFonts w:ascii="Arial" w:cs="Arial" w:eastAsia="Arial" w:hAnsi="Arial"/>
          <w:sz w:val="24"/>
          <w:szCs w:val="24"/>
        </w:rPr>
        <w:t xml:space="preserve">. Объем свыше 100 млн долл. США Полное сопровождение со стороны уполномоченного органа по инвестициям по принципу «единого окна». Подготовка технико-экономических обоснований. Заключение инвестиционных соглашений с предоставлением налоговых и других льгот. Предоставление софинансирования и гарантий;</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Стратегические/региональные.</w:t>
      </w:r>
      <w:r>
        <w:rPr>
          <w:rFonts w:ascii="Arial" w:cs="Arial" w:eastAsia="Arial" w:hAnsi="Arial"/>
          <w:sz w:val="24"/>
          <w:szCs w:val="24"/>
        </w:rPr>
        <w:t xml:space="preserve"> Объем от 10 до 100 млн долл. США. Сопровождение со стороны уполномоченного органа по инвестициям при контактах с другими государственными органами. Разработка инвестиционного проекта или предварительного технико-экономического обоснования. Заключение инвестиционных соглашений;</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Обычные</w:t>
      </w:r>
      <w:r>
        <w:rPr>
          <w:rFonts w:ascii="Arial" w:cs="Arial" w:eastAsia="Arial" w:hAnsi="Arial"/>
          <w:sz w:val="24"/>
          <w:szCs w:val="24"/>
        </w:rPr>
        <w:t xml:space="preserve">. Объем инвестиций ниже 10 млн долл. США. Роль уполномоченного органа по инвестициям будет заключаться в предоставлении консультаций, основная работа с инвесторами будет вестись частными партнерами.</w:t>
      </w:r>
    </w:p>
    <w:p>
      <w:pPr>
        <w:spacing w:after="120"/>
        <w:jc w:val="both"/>
      </w:pPr>
      <w:r>
        <w:rPr>
          <w:rFonts w:ascii="Arial" w:cs="Arial" w:eastAsia="Arial" w:hAnsi="Arial"/>
          <w:sz w:val="24"/>
          <w:szCs w:val="24"/>
        </w:rPr>
        <w:t xml:space="preserve">Будет разработана карта инвестиционных проектов, которая будет разделена на две группы: перспективные инвестиционные проекты и реализуемые проекты. Карта будет содержать качественные и количественные показатели инвестиционных проектов и обеспечит интерактивный процесс сбора и обработки информации по проектам с использованием современных информационных технологий, обеспечением возможности сигнализировать о возникающих проблемах.</w:t>
      </w:r>
    </w:p>
    <w:p>
      <w:pPr>
        <w:spacing w:after="120"/>
        <w:jc w:val="both"/>
      </w:pPr>
      <w:r>
        <w:rPr>
          <w:rFonts w:ascii="Arial" w:cs="Arial" w:eastAsia="Arial" w:hAnsi="Arial"/>
          <w:sz w:val="24"/>
          <w:szCs w:val="24"/>
        </w:rPr>
        <w:t xml:space="preserve">Будет создан механизм софинансирования инвестиционных проектов со стороны государства. Будет создана качественная, соответствующая мировым стандартам единая база местных поставщиков, чтобы повысить привлекательность для новых инвесторов и инвесторов, нацеленных на долгосрочное присутствие в стране.</w:t>
      </w:r>
    </w:p>
    <w:p>
      <w:pPr>
        <w:spacing w:after="120"/>
        <w:jc w:val="both"/>
      </w:pPr>
      <w:r>
        <w:rPr>
          <w:rFonts w:ascii="Arial" w:cs="Arial" w:eastAsia="Arial" w:hAnsi="Arial"/>
          <w:sz w:val="24"/>
          <w:szCs w:val="24"/>
        </w:rPr>
        <w:t xml:space="preserve">Для лучшего информирования инвесторов о текущих возможностях по осуществлению инвестиций в Кыргызскую Республику будет осуществлен перевод всех основных нормативных актов в области инвестиций на английский язык.</w:t>
      </w:r>
    </w:p>
    <w:p>
      <w:pPr>
        <w:spacing w:after="120"/>
        <w:jc w:val="both"/>
      </w:pPr>
      <w:r>
        <w:rPr>
          <w:rFonts w:ascii="Arial" w:cs="Arial" w:eastAsia="Arial" w:hAnsi="Arial"/>
          <w:sz w:val="24"/>
          <w:szCs w:val="24"/>
        </w:rPr>
        <w:t xml:space="preserve">Будет произведен переход на проактивную работу с потенциальными инвесторами. Для каждой приоритетной отрасли и приоритетных инвестиционных проектов будут отобраны компании, с которыми будут проводиться переговоры. Общая база данных таких потенциальных инвесторов и контактных лиц в количестве не менее 500 будет формироваться и обновляться в уполномоченном органе по инвестициям. По итогам переговоров уполномоченным органом по инвестициям не менее чем для 100 компаний будут организованы рабочие визиты в Кыргызскую Республику.</w:t>
      </w:r>
    </w:p>
    <w:p>
      <w:pPr>
        <w:spacing w:after="120"/>
        <w:jc w:val="both"/>
      </w:pPr>
      <w:r>
        <w:rPr>
          <w:rFonts w:ascii="Arial" w:cs="Arial" w:eastAsia="Arial" w:hAnsi="Arial"/>
          <w:sz w:val="24"/>
          <w:szCs w:val="24"/>
        </w:rPr>
        <w:t xml:space="preserve">Также уполномоченным органом по инвестициям будет вестись постоянная работа с международными инвестиционными консультантами по включению в их страновые и региональные обзоры информации об инвестиционных возможностях Кыргызской Республики.</w:t>
      </w:r>
    </w:p>
    <w:p>
      <w:pPr>
        <w:spacing w:after="120"/>
        <w:jc w:val="both"/>
      </w:pPr>
      <w:r>
        <w:rPr>
          <w:rFonts w:ascii="Arial" w:cs="Arial" w:eastAsia="Arial" w:hAnsi="Arial"/>
          <w:sz w:val="24"/>
          <w:szCs w:val="24"/>
        </w:rPr>
        <w:t xml:space="preserve">Сайт уполномоченного органа по инвестициям будет постоянно обновляться и будет содержать всю необходимую информацию для инвесторов, включая перевод на английский язык.</w:t>
      </w:r>
    </w:p>
    <w:p>
      <w:pPr>
        <w:spacing w:after="120"/>
        <w:jc w:val="both"/>
      </w:pPr>
      <w:r>
        <w:rPr>
          <w:rFonts w:ascii="Arial" w:cs="Arial" w:eastAsia="Arial" w:hAnsi="Arial"/>
          <w:sz w:val="24"/>
          <w:szCs w:val="24"/>
        </w:rPr>
        <w:t xml:space="preserve">Для сохранения институциональной памяти и лучшего мониторинга прогресса в реализации инвестиционных проектов в уполномоченном органе по инвестициям будет внедрена Программа управления перемещениями клиентов. Она позволит хранить полную информацию о потенциальных и действующих инвесторах, статусе переговоров, планируемых и реализуемых инвестиционных проектах, а также проводить анализ эффективности работы сотрудников.</w:t>
      </w:r>
    </w:p>
    <w:p>
      <w:pPr>
        <w:spacing w:after="120"/>
        <w:jc w:val="both"/>
      </w:pPr>
      <w:r>
        <w:rPr>
          <w:rFonts w:ascii="Arial" w:cs="Arial" w:eastAsia="Arial" w:hAnsi="Arial"/>
          <w:sz w:val="24"/>
          <w:szCs w:val="24"/>
        </w:rPr>
        <w:t xml:space="preserve">Для доступа к самой последней информации о международных компаниях и их деятельности уполномоченный орган по инвестициям получит доступ к крупнейшим международным базам данных компаний.</w:t>
      </w:r>
    </w:p>
    <w:p>
      <w:pPr>
        <w:spacing w:after="120"/>
        <w:jc w:val="both"/>
      </w:pPr>
      <w:r>
        <w:rPr>
          <w:rFonts w:ascii="Arial" w:cs="Arial" w:eastAsia="Arial" w:hAnsi="Arial"/>
          <w:sz w:val="24"/>
          <w:szCs w:val="24"/>
        </w:rPr>
        <w:t xml:space="preserve">Также важно иметь информацию о данных по другим странам в таких категориях, как заработная плата, коммунальные расходы и т. д., которые представляют интерес для потенциальных инвесторов. Поэтому уполномоченный орган по инвестициям получит доступ к базам данных, которые позволят сравнивать посредством рейтингов Кыргызскую Республику с другими странами и использовать эту информацию для уточнения и адаптации предложений для инвесторов.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Ожидаемые результаты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Поэтапная реализация мероприятий настоящей Программы будет способствовать увеличению привлекаемых инвестиций в экономику Кыргызской Республики, ускорению темпов экономического роста, доходов бюджета и выполнению целей социально-экономического развития.</w:t>
      </w:r>
    </w:p>
    <w:p>
      <w:pPr>
        <w:spacing w:after="120"/>
        <w:jc w:val="both"/>
      </w:pPr>
      <w:r>
        <w:rPr>
          <w:rFonts w:ascii="Arial" w:cs="Arial" w:eastAsia="Arial" w:hAnsi="Arial"/>
          <w:sz w:val="24"/>
          <w:szCs w:val="24"/>
        </w:rPr>
        <w:t xml:space="preserve">Реализация поставленных настоящей Программой задач и мер позволит:</w:t>
      </w:r>
    </w:p>
    <w:p>
      <w:pPr>
        <w:spacing w:after="120"/>
        <w:jc w:val="both"/>
      </w:pPr>
      <w:r>
        <w:rPr>
          <w:rFonts w:ascii="Arial" w:cs="Arial" w:eastAsia="Arial" w:hAnsi="Arial"/>
          <w:sz w:val="24"/>
          <w:szCs w:val="24"/>
        </w:rPr>
        <w:t xml:space="preserve">1) поддерживать уровень инвестиций в основной капитал не менее чем 25 % к размеру ВВП;</w:t>
      </w:r>
    </w:p>
    <w:p>
      <w:pPr>
        <w:spacing w:after="120"/>
        <w:jc w:val="both"/>
      </w:pPr>
      <w:r>
        <w:rPr>
          <w:rFonts w:ascii="Arial" w:cs="Arial" w:eastAsia="Arial" w:hAnsi="Arial"/>
          <w:sz w:val="24"/>
          <w:szCs w:val="24"/>
        </w:rPr>
        <w:t xml:space="preserve">2) достичь показателя привлечения прямых иностранных инвестиций на уровне не менее 13 % к ВВП;</w:t>
      </w:r>
    </w:p>
    <w:p>
      <w:pPr>
        <w:spacing w:after="120"/>
        <w:jc w:val="both"/>
      </w:pPr>
      <w:r>
        <w:rPr>
          <w:rFonts w:ascii="Arial" w:cs="Arial" w:eastAsia="Arial" w:hAnsi="Arial"/>
          <w:sz w:val="24"/>
          <w:szCs w:val="24"/>
        </w:rPr>
        <w:t xml:space="preserve">3) обеспечить темпы экономического роста на уровне не менее 5 % в год;</w:t>
      </w:r>
    </w:p>
    <w:p>
      <w:pPr>
        <w:spacing w:after="120"/>
        <w:jc w:val="both"/>
      </w:pPr>
      <w:r>
        <w:rPr>
          <w:rFonts w:ascii="Arial" w:cs="Arial" w:eastAsia="Arial" w:hAnsi="Arial"/>
          <w:sz w:val="24"/>
          <w:szCs w:val="24"/>
        </w:rPr>
        <w:t xml:space="preserve">4) достичь ВВП на душу населения не менее 1500 долл. США;</w:t>
      </w:r>
    </w:p>
    <w:p>
      <w:pPr>
        <w:spacing w:after="120"/>
        <w:jc w:val="both"/>
      </w:pPr>
      <w:r>
        <w:rPr>
          <w:rFonts w:ascii="Arial" w:cs="Arial" w:eastAsia="Arial" w:hAnsi="Arial"/>
          <w:sz w:val="24"/>
          <w:szCs w:val="24"/>
        </w:rPr>
        <w:t xml:space="preserve">5) улучшить положение Кыргызской Республики в Индексе экономической свободы Heritage Foundation и Индексе глобальной конкурентоспособности Всемирного экономического форума;</w:t>
      </w:r>
    </w:p>
    <w:p>
      <w:pPr>
        <w:spacing w:after="120"/>
        <w:jc w:val="both"/>
      </w:pPr>
      <w:r>
        <w:rPr>
          <w:rFonts w:ascii="Arial" w:cs="Arial" w:eastAsia="Arial" w:hAnsi="Arial"/>
          <w:sz w:val="24"/>
          <w:szCs w:val="24"/>
        </w:rPr>
        <w:t xml:space="preserve">6) создавать ежегодно не менее 100 тысяч рабочих мест;</w:t>
      </w:r>
    </w:p>
    <w:p>
      <w:pPr>
        <w:spacing w:after="120"/>
        <w:jc w:val="both"/>
      </w:pPr>
      <w:r>
        <w:rPr>
          <w:rFonts w:ascii="Arial" w:cs="Arial" w:eastAsia="Arial" w:hAnsi="Arial"/>
          <w:sz w:val="24"/>
          <w:szCs w:val="24"/>
        </w:rPr>
        <w:t xml:space="preserve">7) обеспечить равномерное привлечение инвестиций в регионы Кыргызской Республики;</w:t>
      </w:r>
    </w:p>
    <w:p>
      <w:pPr>
        <w:spacing w:after="120"/>
        <w:jc w:val="both"/>
      </w:pPr>
      <w:r>
        <w:rPr>
          <w:rFonts w:ascii="Arial" w:cs="Arial" w:eastAsia="Arial" w:hAnsi="Arial"/>
          <w:sz w:val="24"/>
          <w:szCs w:val="24"/>
        </w:rPr>
        <w:t xml:space="preserve">8) привлекать инвестиции в сектора с высокой добавленной стоимостью и инновационные отрасли</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Благоприятные предпосылки и риски выполнения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Предпосылками для разработки и принятия Программы стали:</w:t>
      </w:r>
    </w:p>
    <w:p>
      <w:pPr>
        <w:spacing w:after="120"/>
        <w:jc w:val="both"/>
      </w:pPr>
      <w:r>
        <w:rPr>
          <w:rFonts w:ascii="Arial" w:cs="Arial" w:eastAsia="Arial" w:hAnsi="Arial"/>
          <w:sz w:val="24"/>
          <w:szCs w:val="24"/>
        </w:rPr>
        <w:t xml:space="preserve">– Национальная программа развития Кыргызской Республики до 2026 года;</w:t>
      </w:r>
    </w:p>
    <w:p>
      <w:pPr>
        <w:spacing w:after="120"/>
        <w:jc w:val="both"/>
      </w:pPr>
      <w:r>
        <w:rPr>
          <w:rFonts w:ascii="Arial" w:cs="Arial" w:eastAsia="Arial" w:hAnsi="Arial"/>
          <w:sz w:val="24"/>
          <w:szCs w:val="24"/>
        </w:rPr>
        <w:t xml:space="preserve">– государственно-частный диалог между властями и бизнес-сообществом по вопросам улучшения инвестиционного климата;</w:t>
      </w:r>
    </w:p>
    <w:p>
      <w:pPr>
        <w:spacing w:after="120"/>
        <w:jc w:val="both"/>
      </w:pPr>
      <w:r>
        <w:rPr>
          <w:rFonts w:ascii="Arial" w:cs="Arial" w:eastAsia="Arial" w:hAnsi="Arial"/>
          <w:sz w:val="24"/>
          <w:szCs w:val="24"/>
        </w:rPr>
        <w:t xml:space="preserve">– оказание содействия между государством и инвесторами в разрешении инвестиционных споров;</w:t>
      </w:r>
    </w:p>
    <w:p>
      <w:pPr>
        <w:spacing w:after="120"/>
        <w:jc w:val="both"/>
      </w:pPr>
      <w:r>
        <w:rPr>
          <w:rFonts w:ascii="Arial" w:cs="Arial" w:eastAsia="Arial" w:hAnsi="Arial"/>
          <w:sz w:val="24"/>
          <w:szCs w:val="24"/>
        </w:rPr>
        <w:t xml:space="preserve">– меры, направленные на уменьшение теневого сектора экономики.</w:t>
      </w:r>
    </w:p>
    <w:p>
      <w:pPr>
        <w:spacing w:after="120"/>
        <w:jc w:val="both"/>
      </w:pPr>
      <w:r>
        <w:rPr>
          <w:rFonts w:ascii="Arial" w:cs="Arial" w:eastAsia="Arial" w:hAnsi="Arial"/>
          <w:sz w:val="24"/>
          <w:szCs w:val="24"/>
        </w:rPr>
        <w:t xml:space="preserve">К рискам, которые могут оказать негативное воздействие на реализацию Программы, являются:</w:t>
      </w:r>
    </w:p>
    <w:p>
      <w:pPr>
        <w:spacing w:after="120"/>
        <w:jc w:val="both"/>
      </w:pPr>
      <w:r>
        <w:rPr>
          <w:rFonts w:ascii="Arial" w:cs="Arial" w:eastAsia="Arial" w:hAnsi="Arial"/>
          <w:sz w:val="24"/>
          <w:szCs w:val="24"/>
        </w:rPr>
        <w:t xml:space="preserve">– геополитическая нестабильность в регионе;</w:t>
      </w:r>
    </w:p>
    <w:p>
      <w:pPr>
        <w:spacing w:after="120"/>
        <w:jc w:val="both"/>
      </w:pPr>
      <w:r>
        <w:rPr>
          <w:rFonts w:ascii="Arial" w:cs="Arial" w:eastAsia="Arial" w:hAnsi="Arial"/>
          <w:sz w:val="24"/>
          <w:szCs w:val="24"/>
        </w:rPr>
        <w:t xml:space="preserve">– влияние экономических санкций на Российскую Федерацию;</w:t>
      </w:r>
    </w:p>
    <w:p>
      <w:pPr>
        <w:spacing w:after="120"/>
        <w:jc w:val="both"/>
      </w:pPr>
      <w:r>
        <w:rPr>
          <w:rFonts w:ascii="Arial" w:cs="Arial" w:eastAsia="Arial" w:hAnsi="Arial"/>
          <w:sz w:val="24"/>
          <w:szCs w:val="24"/>
        </w:rPr>
        <w:t xml:space="preserve">– недостаточная коммуникация и координация между государственными органами власти, инвесторами и местным населением в ходе разработки и реализации инвестиционных проектов;</w:t>
      </w:r>
    </w:p>
    <w:p>
      <w:pPr>
        <w:spacing w:after="120"/>
        <w:jc w:val="both"/>
      </w:pPr>
      <w:r>
        <w:rPr>
          <w:rFonts w:ascii="Arial" w:cs="Arial" w:eastAsia="Arial" w:hAnsi="Arial"/>
          <w:sz w:val="24"/>
          <w:szCs w:val="24"/>
        </w:rPr>
        <w:t xml:space="preserve">– частая передача функций от одного уполномоченного органа к другому уполномоченному органу, отвечающих за реализацию инвестиционной политики и привлечение инвестиций;</w:t>
      </w:r>
    </w:p>
    <w:p>
      <w:pPr>
        <w:spacing w:after="120"/>
        <w:jc w:val="both"/>
      </w:pPr>
      <w:r>
        <w:rPr>
          <w:rFonts w:ascii="Arial" w:cs="Arial" w:eastAsia="Arial" w:hAnsi="Arial"/>
          <w:sz w:val="24"/>
          <w:szCs w:val="24"/>
        </w:rPr>
        <w:t xml:space="preserve">– общественно-политическая нестабильность в Кыргызской Республике;</w:t>
      </w:r>
    </w:p>
    <w:p>
      <w:pPr>
        <w:spacing w:after="120"/>
        <w:jc w:val="both"/>
      </w:pPr>
      <w:r>
        <w:rPr>
          <w:rFonts w:ascii="Arial" w:cs="Arial" w:eastAsia="Arial" w:hAnsi="Arial"/>
          <w:sz w:val="24"/>
          <w:szCs w:val="24"/>
        </w:rPr>
        <w:t xml:space="preserve">– человеческий потенциал государственных органов, ведущих работу с инвесторами.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Финансовое обеспечение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Реализация мер, предусмотренных Программой, не требует дополнительного источника финансирования из республиканского бюджета, предусмотренного для обеспечения нормотворческой деятельности ведомств.</w:t>
      </w:r>
    </w:p>
    <w:p>
      <w:pPr>
        <w:spacing w:after="120"/>
        <w:jc w:val="both"/>
      </w:pPr>
      <w:r>
        <w:rPr>
          <w:rFonts w:ascii="Arial" w:cs="Arial" w:eastAsia="Arial" w:hAnsi="Arial"/>
          <w:sz w:val="24"/>
          <w:szCs w:val="24"/>
        </w:rPr>
        <w:t xml:space="preserve">Для обеспечения финансирования реализации Программы должны быть использованы внебюджетные источники на основе достигнутых договоренностей с донорскими организациями и средства частных инвесторов.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9. Мониторинг и оценка Программы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как обязательный компонент государственной политики, является инструментом систематического сбора, анализа информации и оценки исполнения программно-плановых мероприятий, а также внесения корректировок.</w:t>
      </w:r>
    </w:p>
    <w:p>
      <w:pPr>
        <w:spacing w:after="120"/>
        <w:jc w:val="both"/>
      </w:pPr>
      <w:r>
        <w:rPr>
          <w:rFonts w:ascii="Arial" w:cs="Arial" w:eastAsia="Arial" w:hAnsi="Arial"/>
          <w:sz w:val="24"/>
          <w:szCs w:val="24"/>
        </w:rPr>
        <w:t xml:space="preserve">Мониторинг будет проводиться ежегодно по принятым индикаторам Программы.</w:t>
      </w:r>
    </w:p>
    <w:p>
      <w:pPr>
        <w:spacing w:after="120"/>
        <w:jc w:val="both"/>
      </w:pPr>
      <w:r>
        <w:rPr>
          <w:rFonts w:ascii="Arial" w:cs="Arial" w:eastAsia="Arial" w:hAnsi="Arial"/>
          <w:sz w:val="24"/>
          <w:szCs w:val="24"/>
        </w:rPr>
        <w:t xml:space="preserve">На основании собранной информации Национальным агентством по инвестициям при Президенте Кыргызской Республики будет детально анализироваться достигнутый прогресс, определяться слабые места и недостатки в ходе выполнения мероприятий и проектов.</w:t>
      </w:r>
    </w:p>
    <w:p>
      <w:pPr>
        <w:spacing w:after="120"/>
        <w:jc w:val="both"/>
      </w:pPr>
      <w:r>
        <w:rPr>
          <w:rFonts w:ascii="Arial" w:cs="Arial" w:eastAsia="Arial" w:hAnsi="Arial"/>
          <w:sz w:val="24"/>
          <w:szCs w:val="24"/>
        </w:rPr>
        <w:t xml:space="preserve">Источниками информации для мониторинга и оценки являются данные официальной статистики, государственных органов, Национального банка Кыргызской Республики, а также органов местного самоуправления.</w:t>
      </w:r>
    </w:p>
    <w:p>
      <w:pPr>
        <w:spacing w:after="120"/>
        <w:jc w:val="both"/>
      </w:pPr>
      <w:r>
        <w:rPr>
          <w:rFonts w:ascii="Arial" w:cs="Arial" w:eastAsia="Arial" w:hAnsi="Arial"/>
          <w:sz w:val="24"/>
          <w:szCs w:val="24"/>
        </w:rPr>
        <w:t xml:space="preserve">По завершению каждого из этапов Программы будет проведена оценка достигнутых результатов с целью выработки необходимых корректирующих мер и предложений по привлечению инвестиций в Кыргызскую Республику.</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f2bjr-h_1_-odkqhi0hj" Type="http://schemas.openxmlformats.org/officeDocument/2006/relationships/hyperlink" Target="http://kodeks.duckdns.org/document/159444#_ftn1" TargetMode="External"/><Relationship Id="rIdy2htr9mnsc0zdbmnhqe4v" Type="http://schemas.openxmlformats.org/officeDocument/2006/relationships/hyperlink" Target="http://kodeks.duckdns.org/document/1190"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2026-09-23T13:17:17.420Z</dcterms:created>
  <dcterms:modified xsi:type="dcterms:W3CDTF">2026-09-23T13:17:17.420Z</dcterms:modified>
</cp:coreProperties>
</file>

<file path=docProps/custom.xml><?xml version="1.0" encoding="utf-8"?>
<Properties xmlns="http://schemas.openxmlformats.org/officeDocument/2006/custom-properties" xmlns:vt="http://schemas.openxmlformats.org/officeDocument/2006/docPropsVTypes"/>
</file>