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0dikm-bb0s0p-16txgpn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27 октября 2022 года № 591)</w:t>
      </w:r>
    </w:p>
    <w:p>
      <w:pPr>
        <w:spacing w:after="400" w:before="400"/>
        <w:jc w:val="center"/>
      </w:pPr>
      <w:r>
        <w:rPr>
          <w:rFonts w:ascii="Arial" w:cs="Arial" w:eastAsia="Arial" w:hAnsi="Arial"/>
          <w:b/>
          <w:bCs/>
          <w:sz w:val="28"/>
          <w:szCs w:val="28"/>
        </w:rPr>
        <w:t xml:space="preserve">ПРОГРАММА</w:t>
      </w:r>
      <w:r>
        <w:rPr>
          <w:rFonts w:ascii="Arial" w:cs="Arial" w:eastAsia="Arial" w:hAnsi="Arial"/>
          <w:b/>
          <w:bCs/>
          <w:sz w:val="28"/>
          <w:szCs w:val="28"/>
        </w:rPr>
        <w:t xml:space="preserve">
 развития отрасли электрической и почтовой связи Кыргызской Республики на 2022-2027 годы</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Начиная с 2018 года КР целенаправленно взяла курс на цифровое развитие экономики страны. Программа развития отрасли электрической и почтовой связи Кыргызской Республики на 2022-2027 годы (далее - Программа), отвечающая за соответствие современным требованиям одной из главных инфраструктур цифровой экономики республики, должна обеспечить ее гармоничное развитие в соответствии с мировыми тенденциями и инновациями и быть взаимосвязанной с положениями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КР на 2018-2040 годы, утвержденной </w:t>
      </w:r>
      <w:hyperlink w:history="1" r:id="rIdep6c8j8aar67aqyq73yi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31 октября 2018 года № 221 и Концепцией цифровой трансформации "Цифровой Кыргызстан 2019-2023", одобренной решением Совета безопасности КР от 14 декабря 2018 года № 2.</w:t>
      </w:r>
    </w:p>
    <w:p>
      <w:pPr>
        <w:spacing w:after="60"/>
        <w:ind w:firstLine="567"/>
        <w:jc w:val="both"/>
      </w:pPr>
      <w:r>
        <w:rPr>
          <w:rFonts w:ascii="Arial" w:cs="Arial" w:eastAsia="Arial" w:hAnsi="Arial"/>
          <w:sz w:val="24"/>
          <w:szCs w:val="24"/>
        </w:rPr>
        <w:t xml:space="preserve">Электрическая и почтовая связь всегда имела важное значение для развития КР.</w:t>
      </w:r>
    </w:p>
    <w:p>
      <w:pPr>
        <w:spacing w:after="60"/>
        <w:ind w:firstLine="567"/>
        <w:jc w:val="both"/>
      </w:pPr>
      <w:r>
        <w:rPr>
          <w:rFonts w:ascii="Arial" w:cs="Arial" w:eastAsia="Arial" w:hAnsi="Arial"/>
          <w:sz w:val="24"/>
          <w:szCs w:val="24"/>
        </w:rPr>
        <w:t xml:space="preserve">Основная задача Программы заключается в выявлении обстоятельств, мешающих продвижению развития отрасли электрической и почтовой связи с учетом потребностей государства и общества.</w:t>
      </w:r>
    </w:p>
    <w:p>
      <w:pPr>
        <w:spacing w:after="60"/>
        <w:ind w:firstLine="567"/>
        <w:jc w:val="both"/>
      </w:pPr>
      <w:r>
        <w:rPr>
          <w:rFonts w:ascii="Arial" w:cs="Arial" w:eastAsia="Arial" w:hAnsi="Arial"/>
          <w:sz w:val="24"/>
          <w:szCs w:val="24"/>
        </w:rPr>
        <w:t xml:space="preserve">Сейчас отрасль стоит перед очередной сложной задачей. Страна вступает в информационный век и начала цифровую трансформацию всего общества. В Национальной стратегии развития КР на 2018-2040 годы, утвержденной </w:t>
      </w:r>
      <w:hyperlink w:history="1" r:id="rId38y4uflchdibeo1mzxwi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31 октября 2018 года № 221, отмечается, что:</w:t>
      </w:r>
    </w:p>
    <w:p>
      <w:pPr>
        <w:spacing w:after="60"/>
        <w:ind w:firstLine="567"/>
        <w:jc w:val="both"/>
      </w:pPr>
      <w:r>
        <w:rPr>
          <w:rFonts w:ascii="Arial" w:cs="Arial" w:eastAsia="Arial" w:hAnsi="Arial"/>
          <w:sz w:val="24"/>
          <w:szCs w:val="24"/>
        </w:rPr>
        <w:t xml:space="preserve">- равенство возможностей граждан, предприятий и территорий обеспечивается на основе повсеместного развития всех видов физической и цифровой инфраструктуры;</w:t>
      </w:r>
    </w:p>
    <w:p>
      <w:pPr>
        <w:spacing w:after="60"/>
        <w:ind w:firstLine="567"/>
        <w:jc w:val="both"/>
      </w:pPr>
      <w:r>
        <w:rPr>
          <w:rFonts w:ascii="Arial" w:cs="Arial" w:eastAsia="Arial" w:hAnsi="Arial"/>
          <w:sz w:val="24"/>
          <w:szCs w:val="24"/>
        </w:rPr>
        <w:t xml:space="preserve">- в стране будет выстроена цифровая инфраструктура мирового класса, интегрированная в глобальные информационные потоки. Развитие цифровой инфраструктуры станет базой для инновационного развития традиционных отраслей и появления новых отраслей;</w:t>
      </w:r>
    </w:p>
    <w:p>
      <w:pPr>
        <w:spacing w:after="60"/>
        <w:ind w:firstLine="567"/>
        <w:jc w:val="both"/>
      </w:pPr>
      <w:r>
        <w:rPr>
          <w:rFonts w:ascii="Arial" w:cs="Arial" w:eastAsia="Arial" w:hAnsi="Arial"/>
          <w:sz w:val="24"/>
          <w:szCs w:val="24"/>
        </w:rPr>
        <w:t xml:space="preserve">- созданная цифровая инфраструктура позволит соединить информационно-коммуникационное пространство Центральной Азии, ЕАЭС, Ближнего Востока, Китая и Европы;</w:t>
      </w:r>
    </w:p>
    <w:p>
      <w:pPr>
        <w:spacing w:after="60"/>
        <w:ind w:firstLine="567"/>
        <w:jc w:val="both"/>
      </w:pPr>
      <w:r>
        <w:rPr>
          <w:rFonts w:ascii="Arial" w:cs="Arial" w:eastAsia="Arial" w:hAnsi="Arial"/>
          <w:sz w:val="24"/>
          <w:szCs w:val="24"/>
        </w:rPr>
        <w:t xml:space="preserve">- в стране будут сформированы база и система подготовки высококвалифицированных специалистов.</w:t>
      </w:r>
    </w:p>
    <w:p>
      <w:pPr>
        <w:spacing w:after="60"/>
        <w:ind w:firstLine="567"/>
        <w:jc w:val="both"/>
      </w:pPr>
      <w:r>
        <w:rPr>
          <w:rFonts w:ascii="Arial" w:cs="Arial" w:eastAsia="Arial" w:hAnsi="Arial"/>
          <w:sz w:val="24"/>
          <w:szCs w:val="24"/>
        </w:rPr>
        <w:t xml:space="preserve">В Концепции цифровой трансформации "Цифровой Кыргызстан 2019-2023", одобренной решением Совета безопасности КР от 14 декабря 2018 года № 2, в качестве основных факторов отмечается:</w:t>
      </w:r>
    </w:p>
    <w:p>
      <w:pPr>
        <w:spacing w:after="60"/>
        <w:ind w:firstLine="567"/>
        <w:jc w:val="both"/>
      </w:pPr>
      <w:r>
        <w:rPr>
          <w:rFonts w:ascii="Arial" w:cs="Arial" w:eastAsia="Arial" w:hAnsi="Arial"/>
          <w:sz w:val="24"/>
          <w:szCs w:val="24"/>
        </w:rPr>
        <w:t xml:space="preserve">- строительство инфраструктуры международного уровня;</w:t>
      </w:r>
    </w:p>
    <w:p>
      <w:pPr>
        <w:spacing w:after="60"/>
        <w:ind w:firstLine="567"/>
        <w:jc w:val="both"/>
      </w:pPr>
      <w:r>
        <w:rPr>
          <w:rFonts w:ascii="Arial" w:cs="Arial" w:eastAsia="Arial" w:hAnsi="Arial"/>
          <w:sz w:val="24"/>
          <w:szCs w:val="24"/>
        </w:rPr>
        <w:t xml:space="preserve">- обеспечение широкополосного доступа к интернету на всей территории КР;</w:t>
      </w:r>
    </w:p>
    <w:p>
      <w:pPr>
        <w:spacing w:after="60"/>
        <w:ind w:firstLine="567"/>
        <w:jc w:val="both"/>
      </w:pPr>
      <w:r>
        <w:rPr>
          <w:rFonts w:ascii="Arial" w:cs="Arial" w:eastAsia="Arial" w:hAnsi="Arial"/>
          <w:sz w:val="24"/>
          <w:szCs w:val="24"/>
        </w:rPr>
        <w:t xml:space="preserve">- обеспечение эффективного, надежного и недорогого соединения страны с глобальными сетями и магистралями передачи данных.</w:t>
      </w:r>
    </w:p>
    <w:p>
      <w:pPr>
        <w:spacing w:after="60"/>
        <w:ind w:firstLine="567"/>
        <w:jc w:val="both"/>
      </w:pPr>
      <w:r>
        <w:rPr>
          <w:rFonts w:ascii="Arial" w:cs="Arial" w:eastAsia="Arial" w:hAnsi="Arial"/>
          <w:sz w:val="24"/>
          <w:szCs w:val="24"/>
        </w:rPr>
        <w:t xml:space="preserve">В соответствии с вышеуказанной Концепцией цифровая инфраструктура охватывает широкополосную связь и радиовещание. Услуги связи должны быть доступны для всех категорий пользователей, включая группы с особыми потребностями.</w:t>
      </w:r>
    </w:p>
    <w:p>
      <w:pPr>
        <w:spacing w:after="60"/>
        <w:ind w:firstLine="567"/>
        <w:jc w:val="both"/>
      </w:pPr>
      <w:r>
        <w:rPr>
          <w:rFonts w:ascii="Arial" w:cs="Arial" w:eastAsia="Arial" w:hAnsi="Arial"/>
          <w:sz w:val="24"/>
          <w:szCs w:val="24"/>
        </w:rPr>
        <w:t xml:space="preserve">Создаваемая и развиваемая цифровая инфраструктура должна быть в состоянии поддерживать быстрый рост трафика, обеспечивать покрытие с достаточной пропускной способностью (объемы, скорость, надежность) для удовлетворения новых потребностей.</w:t>
      </w:r>
    </w:p>
    <w:p>
      <w:pPr>
        <w:spacing w:after="200" w:before="200"/>
        <w:jc w:val="center"/>
      </w:pPr>
      <w:r>
        <w:rPr>
          <w:rFonts w:ascii="Arial" w:cs="Arial" w:eastAsia="Arial" w:hAnsi="Arial"/>
          <w:b/>
          <w:bCs/>
          <w:sz w:val="24"/>
          <w:szCs w:val="24"/>
        </w:rPr>
        <w:t xml:space="preserve">II. Оценка текущей ситуации</w:t>
      </w:r>
    </w:p>
    <w:p>
      <w:pPr>
        <w:spacing w:after="60" w:before="200"/>
        <w:ind w:firstLine="567"/>
        <w:jc w:val="both"/>
      </w:pPr>
      <w:r>
        <w:rPr>
          <w:rFonts w:ascii="Arial" w:cs="Arial" w:eastAsia="Arial" w:hAnsi="Arial"/>
          <w:b/>
          <w:bCs/>
          <w:sz w:val="24"/>
          <w:szCs w:val="24"/>
        </w:rPr>
        <w:t xml:space="preserve">Международное сотрудничество</w:t>
      </w:r>
    </w:p>
    <w:p>
      <w:pPr>
        <w:spacing w:after="60"/>
        <w:ind w:firstLine="567"/>
        <w:jc w:val="both"/>
      </w:pPr>
      <w:r>
        <w:rPr>
          <w:rFonts w:ascii="Arial" w:cs="Arial" w:eastAsia="Arial" w:hAnsi="Arial"/>
          <w:sz w:val="24"/>
          <w:szCs w:val="24"/>
        </w:rPr>
        <w:t xml:space="preserve">КР является членом следующих международных и региональных организаций: МСЭ; ВПС; ЕАЭС; РСС, а также других международных организаций.</w:t>
      </w:r>
    </w:p>
    <w:p>
      <w:pPr>
        <w:spacing w:after="60"/>
        <w:ind w:firstLine="567"/>
        <w:jc w:val="both"/>
      </w:pPr>
      <w:r>
        <w:rPr>
          <w:rFonts w:ascii="Arial" w:cs="Arial" w:eastAsia="Arial" w:hAnsi="Arial"/>
          <w:sz w:val="24"/>
          <w:szCs w:val="24"/>
        </w:rPr>
        <w:t xml:space="preserve">Членство в указанных институтах позволяет защищать национальные интересы КР, осуществлять внедрение новых технологий, следить за мировой тенденцией в регулировании и развитии отрасли электрической и почтовой связи, гармонично развивать рынок, а также накладывает на КР обязательства соблюдать основные документы (устав, конвенцию, административные регламенты), принятые указанными союзами и содружеством.</w:t>
      </w:r>
    </w:p>
    <w:p>
      <w:pPr>
        <w:spacing w:after="60" w:before="200"/>
        <w:ind w:firstLine="567"/>
        <w:jc w:val="both"/>
      </w:pPr>
      <w:r>
        <w:rPr>
          <w:rFonts w:ascii="Arial" w:cs="Arial" w:eastAsia="Arial" w:hAnsi="Arial"/>
          <w:b/>
          <w:bCs/>
          <w:sz w:val="24"/>
          <w:szCs w:val="24"/>
        </w:rPr>
        <w:t xml:space="preserve">Рынок электрической и почтовой связи</w:t>
      </w:r>
    </w:p>
    <w:p>
      <w:pPr>
        <w:spacing w:after="60"/>
        <w:ind w:firstLine="567"/>
        <w:jc w:val="both"/>
      </w:pPr>
      <w:r>
        <w:rPr>
          <w:rFonts w:ascii="Arial" w:cs="Arial" w:eastAsia="Arial" w:hAnsi="Arial"/>
          <w:b/>
          <w:bCs/>
          <w:sz w:val="24"/>
          <w:szCs w:val="24"/>
        </w:rPr>
        <w:t xml:space="preserve">Электросвязь.</w:t>
      </w:r>
      <w:r>
        <w:rPr>
          <w:rFonts w:ascii="Arial" w:cs="Arial" w:eastAsia="Arial" w:hAnsi="Arial"/>
          <w:sz w:val="24"/>
          <w:szCs w:val="24"/>
        </w:rPr>
        <w:t xml:space="preserve"> На конец I квартала 2022 года на рынке связи зарегистрировано в реестре 340 оператора электросвязи, владеющих 520 лицензиями.</w:t>
      </w:r>
    </w:p>
    <w:p>
      <w:pPr>
        <w:spacing w:after="60"/>
        <w:ind w:firstLine="567"/>
        <w:jc w:val="both"/>
      </w:pPr>
      <w:r>
        <w:rPr>
          <w:rFonts w:ascii="Arial" w:cs="Arial" w:eastAsia="Arial" w:hAnsi="Arial"/>
          <w:sz w:val="24"/>
          <w:szCs w:val="24"/>
        </w:rPr>
        <w:t xml:space="preserve">Современная рыночная картина включает в себя одного национального оператора фиксированной связи, трех ведущих операторов мобильной связи и множество операторов связи, оказывающих самые различные услуги. Развитие мобильной связи претерпело технологический рост от стандарта AMPS до 4G (LTE).</w:t>
      </w:r>
    </w:p>
    <w:p>
      <w:pPr>
        <w:spacing w:after="60"/>
        <w:ind w:firstLine="567"/>
        <w:jc w:val="both"/>
      </w:pPr>
      <w:r>
        <w:rPr>
          <w:rFonts w:ascii="Arial" w:cs="Arial" w:eastAsia="Arial" w:hAnsi="Arial"/>
          <w:sz w:val="24"/>
          <w:szCs w:val="24"/>
        </w:rPr>
        <w:t xml:space="preserve">Либеральный подход к развитию сферы связи позволил операторам связи иметь самостоятельную политику по организации международных соединений для пропуска трафика, тем самым обеспечивая тарифную конкуренцию и наличие альтернативных маршрутов.</w:t>
      </w:r>
    </w:p>
    <w:p>
      <w:pPr>
        <w:spacing w:after="60"/>
        <w:ind w:firstLine="567"/>
        <w:jc w:val="both"/>
      </w:pPr>
      <w:r>
        <w:rPr>
          <w:rFonts w:ascii="Arial" w:cs="Arial" w:eastAsia="Arial" w:hAnsi="Arial"/>
          <w:sz w:val="24"/>
          <w:szCs w:val="24"/>
        </w:rPr>
        <w:t xml:space="preserve">На сегодняшний день покрытие мобильной связью населенной территории страны составляет 98,1% (по технологии 2G). Высокий показатель охвата населенной территории услугами мобильной сотовой связи также стал возможен в рамках исполнения лицензионных требований, согласно которым, оператор связи, имеющий лицензию на использование радиочастотного спектра на всю территорию КР, обеспечивает услугами связи территорию, указанную в графиках покрытия, утвержденных регулятором.</w:t>
      </w:r>
    </w:p>
    <w:p>
      <w:pPr>
        <w:spacing w:after="60"/>
        <w:ind w:firstLine="567"/>
        <w:jc w:val="both"/>
      </w:pPr>
      <w:r>
        <w:rPr>
          <w:rFonts w:ascii="Arial" w:cs="Arial" w:eastAsia="Arial" w:hAnsi="Arial"/>
          <w:sz w:val="24"/>
          <w:szCs w:val="24"/>
        </w:rPr>
        <w:t xml:space="preserve">На конец I квартала 2022 года 40 населенных пунктов остаются не охваченными сетями мобильной сотовой связи, из них в 14 населенных пунктах отсутствуют линии электропередач и подъездные пути для строительства и установки оборудования.</w:t>
      </w:r>
    </w:p>
    <w:p>
      <w:pPr>
        <w:spacing w:after="60" w:before="200"/>
        <w:ind w:firstLine="567"/>
        <w:jc w:val="both"/>
      </w:pPr>
      <w:r>
        <w:rPr>
          <w:rFonts w:ascii="Arial" w:cs="Arial" w:eastAsia="Arial" w:hAnsi="Arial"/>
          <w:b/>
          <w:bCs/>
          <w:sz w:val="24"/>
          <w:szCs w:val="24"/>
        </w:rPr>
        <w:t xml:space="preserve">Безопасность сетей связи</w:t>
      </w:r>
    </w:p>
    <w:p>
      <w:pPr>
        <w:spacing w:after="60"/>
        <w:ind w:firstLine="567"/>
        <w:jc w:val="both"/>
      </w:pPr>
      <w:r>
        <w:rPr>
          <w:rFonts w:ascii="Arial" w:cs="Arial" w:eastAsia="Arial" w:hAnsi="Arial"/>
          <w:sz w:val="24"/>
          <w:szCs w:val="24"/>
        </w:rPr>
        <w:t xml:space="preserve">На сегодняшний день остается проблема несанкционированного пропуска трафика, который наносит урон безопасности сети и приводит к финансовым потерям оператора связи. В этой связи, необходимо закрепление в Уголовном </w:t>
      </w:r>
      <w:hyperlink w:history="1" r:id="rIdpxetgfrshhalid7rouewd">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КР отдельных норм, предусматривающих ответственность за несанкционированный доступ к сетям и/или услугам электросвязи и за создание, в т.ч. модификацию, использование и распространение уже готовых и легальных компьютерных программ для несанкционированного доступа. В отраслевом законе предусмотреть право операторов электросвязи ограничивать доступ к услугам связи (приостановление/блокирование) в случае выявления абонентов, осуществляющих вышеуказанные неправомерные действия.</w:t>
      </w:r>
    </w:p>
    <w:p>
      <w:pPr>
        <w:spacing w:after="60"/>
        <w:ind w:firstLine="567"/>
        <w:jc w:val="both"/>
      </w:pPr>
      <w:r>
        <w:rPr>
          <w:rFonts w:ascii="Arial" w:cs="Arial" w:eastAsia="Arial" w:hAnsi="Arial"/>
          <w:sz w:val="24"/>
          <w:szCs w:val="24"/>
        </w:rPr>
        <w:t xml:space="preserve">Для надежности, безопасности и непрерывности функционирования наиболее важных частей телекоммуникационной сети республики (включая магистральные сети) необходимо обеспечить создание обходных путей и резервных маршрутов, обеспечить безопасность трафика с процедурой отслеживания, резервное электропитание, а также предусмотреть по возможности резервный маршрут по цифровым радиорелейным линиям связи.</w:t>
      </w:r>
    </w:p>
    <w:p>
      <w:pPr>
        <w:spacing w:after="60" w:before="200"/>
        <w:ind w:firstLine="567"/>
        <w:jc w:val="both"/>
      </w:pPr>
      <w:r>
        <w:rPr>
          <w:rFonts w:ascii="Arial" w:cs="Arial" w:eastAsia="Arial" w:hAnsi="Arial"/>
          <w:b/>
          <w:bCs/>
          <w:sz w:val="24"/>
          <w:szCs w:val="24"/>
        </w:rPr>
        <w:t xml:space="preserve">Удаленная персонификация мобильных абонентов</w:t>
      </w:r>
    </w:p>
    <w:p>
      <w:pPr>
        <w:spacing w:after="60"/>
        <w:ind w:firstLine="567"/>
        <w:jc w:val="both"/>
      </w:pPr>
      <w:r>
        <w:rPr>
          <w:rFonts w:ascii="Arial" w:cs="Arial" w:eastAsia="Arial" w:hAnsi="Arial"/>
          <w:sz w:val="24"/>
          <w:szCs w:val="24"/>
        </w:rPr>
        <w:t xml:space="preserve">В мире повсеместная цифровизация уже позволяет открывать банковские счета с использованием биометрических данных и персональных данных. В этой связи назрела необходимость нормативно предусмотреть возможность внедрения цифровых методов по удаленной персонификации мобильных абонентов, в том числе с предоставлением возможности операторам связи проводить интеграцию, использовать и обмениваться информацией с государственными базами данных по межведомственному электронному взаимодействию, единым порталом электронных услуг с целью подтверждения персональных данных абонентов и оказания широкого доступа к электронным государственным услугам.</w:t>
      </w:r>
    </w:p>
    <w:p>
      <w:pPr>
        <w:spacing w:after="60"/>
        <w:ind w:firstLine="567"/>
        <w:jc w:val="both"/>
      </w:pPr>
      <w:r>
        <w:rPr>
          <w:rFonts w:ascii="Arial" w:cs="Arial" w:eastAsia="Arial" w:hAnsi="Arial"/>
          <w:b/>
          <w:bCs/>
          <w:sz w:val="24"/>
          <w:szCs w:val="24"/>
        </w:rPr>
        <w:t xml:space="preserve">Почта.</w:t>
      </w:r>
      <w:r>
        <w:rPr>
          <w:rFonts w:ascii="Arial" w:cs="Arial" w:eastAsia="Arial" w:hAnsi="Arial"/>
          <w:sz w:val="24"/>
          <w:szCs w:val="24"/>
        </w:rPr>
        <w:t xml:space="preserve"> Рынок почтовой связи в республике представлен открытым акционерным обществом "Кыргыз почтасы" (далее - ОАО "Кыргыз почтасы") и коммерческими почтовыми организациями, осуществляющими свою деятельность на основе лицензии уполномоченного государственного органа по связи.</w:t>
      </w:r>
    </w:p>
    <w:p>
      <w:pPr>
        <w:spacing w:after="60"/>
        <w:ind w:firstLine="567"/>
        <w:jc w:val="both"/>
      </w:pPr>
      <w:r>
        <w:rPr>
          <w:rFonts w:ascii="Arial" w:cs="Arial" w:eastAsia="Arial" w:hAnsi="Arial"/>
          <w:sz w:val="24"/>
          <w:szCs w:val="24"/>
        </w:rPr>
        <w:t xml:space="preserve">КР с 1993 года является членом ВПС, куда входят 192 государства мира, и с 1992 года членом РСС, в который входят страны СНГ и ОАО "Кыргыз почтасы" является назначенным оператором ВПС от КР.</w:t>
      </w:r>
    </w:p>
    <w:p>
      <w:pPr>
        <w:spacing w:after="60"/>
        <w:ind w:firstLine="567"/>
        <w:jc w:val="both"/>
      </w:pPr>
      <w:r>
        <w:rPr>
          <w:rFonts w:ascii="Arial" w:cs="Arial" w:eastAsia="Arial" w:hAnsi="Arial"/>
          <w:sz w:val="24"/>
          <w:szCs w:val="24"/>
        </w:rPr>
        <w:t xml:space="preserve">ОАО "Кыргыз почтасы" - самофинансируемый субъект хозяйственной деятельности и стратегический объект КР, занимает важное место в структуре отрасли связи и инфраструктуре регионов, имеет самую разветвленную сеть территориальных филиалов и отделений почтовой связи (921 объекта по всей республике) и относится к категории естественного монополиста в области почтовой связи.</w:t>
      </w:r>
    </w:p>
    <w:p>
      <w:pPr>
        <w:spacing w:after="60"/>
        <w:ind w:firstLine="567"/>
        <w:jc w:val="both"/>
      </w:pPr>
      <w:r>
        <w:rPr>
          <w:rFonts w:ascii="Arial" w:cs="Arial" w:eastAsia="Arial" w:hAnsi="Arial"/>
          <w:sz w:val="24"/>
          <w:szCs w:val="24"/>
        </w:rPr>
        <w:t xml:space="preserve">ОАО "Кыргыз почтасы" осуществляет предоставление населению и иным пользователям различных категорий и форм собственности социально значимых и наиболее доступных услуг почтовой связи: прием и доставку внутренней и международной письменной корреспонденции, посылок и бандеролей, проведение подписки на периодическую печать, доставку подписной и розничной печатной продукции - газет, журналов, книг, рекламных материалов, предоставление финансовых услуг, в том числе по доставке документов государственного значения и выплате пенсий и пособий, приему различных видов коммунальных и прочих регулярных платежей, приему и оплате почтовых и электронных денежных переводов и т.д. на лицензионной и договорной агентской основе на всей территории республики.</w:t>
      </w:r>
    </w:p>
    <w:p>
      <w:pPr>
        <w:spacing w:after="60"/>
        <w:ind w:firstLine="567"/>
        <w:jc w:val="both"/>
      </w:pPr>
      <w:r>
        <w:rPr>
          <w:rFonts w:ascii="Arial" w:cs="Arial" w:eastAsia="Arial" w:hAnsi="Arial"/>
          <w:sz w:val="24"/>
          <w:szCs w:val="24"/>
        </w:rPr>
        <w:t xml:space="preserve">Одной из сфер деятельности ОАО "Кыргыз почтасы" является перевозка почты по 151 почтовому маршруту, общей протяженностью свыше 26,5 тыс. км в обе стороны. ОАО "Кыргыз почтасы" является одним из крупных субъектов по доставке заказанных по интернету товаров.</w:t>
      </w:r>
    </w:p>
    <w:p>
      <w:pPr>
        <w:spacing w:after="60"/>
        <w:ind w:firstLine="567"/>
        <w:jc w:val="both"/>
      </w:pPr>
      <w:r>
        <w:rPr>
          <w:rFonts w:ascii="Arial" w:cs="Arial" w:eastAsia="Arial" w:hAnsi="Arial"/>
          <w:sz w:val="24"/>
          <w:szCs w:val="24"/>
        </w:rPr>
        <w:t xml:space="preserve">На сегодняшний день около 20% сельских отделений почтовой связи не телефонизированы. Отсутствие фиксированной телефонной связи лишает отделения почтовой связи возможности эффективно осуществлять производственную деятельность, передачу служебной информации, касающейся вопросов обеспечения текущей эксплуатации, вопросов согласования и обеспечения оперативной доставки и отправки почты и финансовых средств, которые по мере возможности и необходимости осуществляются посредством мобильной связи с использованием индивидуальных мобильных устройств.</w:t>
      </w:r>
    </w:p>
    <w:p>
      <w:pPr>
        <w:spacing w:after="60"/>
        <w:ind w:firstLine="567"/>
        <w:jc w:val="both"/>
      </w:pPr>
      <w:r>
        <w:rPr>
          <w:rFonts w:ascii="Arial" w:cs="Arial" w:eastAsia="Arial" w:hAnsi="Arial"/>
          <w:sz w:val="24"/>
          <w:szCs w:val="24"/>
        </w:rPr>
        <w:t xml:space="preserve">Вместе с этим, создание бондовых складов на базе ОАО "Кыргыз почтасы" будут выгодны для интернет-магазинов, ввозящих товар из-за рубежа: для их клиентов критически сокращается время доставки покупок, от нескольких недель до 1-2 дней. Сами же ритейлеры могут гибко реагировать на спрос и платить налоги и сборы только за реально проданный товар, а не за всю ввезенную партию - а то, что не продалось, легко отправить назад.</w:t>
      </w:r>
    </w:p>
    <w:p>
      <w:pPr>
        <w:spacing w:after="60"/>
        <w:ind w:firstLine="567"/>
        <w:jc w:val="both"/>
      </w:pPr>
      <w:r>
        <w:rPr>
          <w:rFonts w:ascii="Arial" w:cs="Arial" w:eastAsia="Arial" w:hAnsi="Arial"/>
          <w:sz w:val="24"/>
          <w:szCs w:val="24"/>
        </w:rPr>
        <w:t xml:space="preserve">Бондовые (или свободные) склады - площадки, где импортный товар можно хранить неограниченно долго без прохождения таможенных процедур и без уплаты налогов. Юридически такой склад приписан к одной из таможен, и формально товары не пересекают таможенную границу до того, как покинут склад. Бондовые склады используют как при ввозе товаров в страну, так и при транзите через территорию государства.</w:t>
      </w:r>
    </w:p>
    <w:p>
      <w:pPr>
        <w:spacing w:after="60" w:before="200"/>
        <w:ind w:firstLine="567"/>
        <w:jc w:val="both"/>
      </w:pPr>
      <w:r>
        <w:rPr>
          <w:rFonts w:ascii="Arial" w:cs="Arial" w:eastAsia="Arial" w:hAnsi="Arial"/>
          <w:b/>
          <w:bCs/>
          <w:sz w:val="24"/>
          <w:szCs w:val="24"/>
        </w:rPr>
        <w:t xml:space="preserve">Волоконно-оптические линии связи</w:t>
      </w:r>
    </w:p>
    <w:p>
      <w:pPr>
        <w:spacing w:after="60"/>
        <w:ind w:firstLine="567"/>
        <w:jc w:val="both"/>
      </w:pPr>
      <w:r>
        <w:rPr>
          <w:rFonts w:ascii="Arial" w:cs="Arial" w:eastAsia="Arial" w:hAnsi="Arial"/>
          <w:sz w:val="24"/>
          <w:szCs w:val="24"/>
        </w:rPr>
        <w:t xml:space="preserve">На конец I квартала 2022 года протяженность ВОЛС в республике составляет порядка 38568,448 км, из них магистральных линий связи - 12248,689 км.</w:t>
      </w:r>
    </w:p>
    <w:p>
      <w:pPr>
        <w:spacing w:after="60"/>
        <w:ind w:firstLine="567"/>
        <w:jc w:val="both"/>
      </w:pPr>
      <w:r>
        <w:rPr>
          <w:rFonts w:ascii="Arial" w:cs="Arial" w:eastAsia="Arial" w:hAnsi="Arial"/>
          <w:sz w:val="24"/>
          <w:szCs w:val="24"/>
        </w:rPr>
        <w:t xml:space="preserve">ВОЛС идеально подходят для создания магистральных линий связи, на них реализованы стыки между телекоммуникационными сетями Кыргызстана и соседних стран. Операторы связи республики стараются подвести ВОЛС к каждому домохозяйству, там, где это технически возможно и экономически целесообразно. Но строительство ВОЛС в горных условиях при обеспечении защиты от природных воздействий (лавины, сели и т.д.) сильно удорожает такие сети, и операторы связи, как правило, не предусматривают использование ВОЛС для обеспечения связи горных и труднодоступных районов. Стопроцентный охват всех горных и труднодоступных районов сетями передачи данных с помощью ВОЛС обеспечить практически невозможно, прежде всего это обусловлено тем, что КР является горной страной со сложным рельефом и с большим количеством горных рек.</w:t>
      </w:r>
    </w:p>
    <w:p>
      <w:pPr>
        <w:spacing w:after="60" w:before="200"/>
        <w:ind w:firstLine="567"/>
        <w:jc w:val="both"/>
      </w:pPr>
      <w:r>
        <w:rPr>
          <w:rFonts w:ascii="Arial" w:cs="Arial" w:eastAsia="Arial" w:hAnsi="Arial"/>
          <w:b/>
          <w:bCs/>
          <w:sz w:val="24"/>
          <w:szCs w:val="24"/>
        </w:rPr>
        <w:t xml:space="preserve">Организация доступности услуг электрической связи</w:t>
      </w:r>
    </w:p>
    <w:p>
      <w:pPr>
        <w:spacing w:after="60"/>
        <w:ind w:firstLine="567"/>
        <w:jc w:val="both"/>
      </w:pPr>
      <w:r>
        <w:rPr>
          <w:rFonts w:ascii="Arial" w:cs="Arial" w:eastAsia="Arial" w:hAnsi="Arial"/>
          <w:sz w:val="24"/>
          <w:szCs w:val="24"/>
        </w:rPr>
        <w:t xml:space="preserve">Организация "последней мили", улучшение показателя "доля населения, имеющего возможность широкополосного доступа к интернету" являются одними из приоритетных задач государственной программы развития цифровой экономики.</w:t>
      </w:r>
    </w:p>
    <w:p>
      <w:pPr>
        <w:spacing w:after="60" w:before="200"/>
        <w:ind w:firstLine="567"/>
        <w:jc w:val="both"/>
      </w:pPr>
      <w:r>
        <w:rPr>
          <w:rFonts w:ascii="Arial" w:cs="Arial" w:eastAsia="Arial" w:hAnsi="Arial"/>
          <w:b/>
          <w:bCs/>
          <w:sz w:val="24"/>
          <w:szCs w:val="24"/>
        </w:rPr>
        <w:t xml:space="preserve">Проводная "последняя миля"</w:t>
      </w:r>
    </w:p>
    <w:p>
      <w:pPr>
        <w:spacing w:after="60"/>
        <w:ind w:firstLine="567"/>
        <w:jc w:val="both"/>
      </w:pPr>
      <w:r>
        <w:rPr>
          <w:rFonts w:ascii="Arial" w:cs="Arial" w:eastAsia="Arial" w:hAnsi="Arial"/>
          <w:sz w:val="24"/>
          <w:szCs w:val="24"/>
        </w:rPr>
        <w:t xml:space="preserve">Под землей проводить "последнюю милю" в частный дом очень дорого и проблематично, поскольку по существующему жилому сектору нужно пересечь очень большое количество коммуникаций (газовые трубы, вода, канализация) в связи с чем требуется получить ряд разрешений. Менее затратным вариантом является использование действующей инфраструктуры энергетиков - воздушная подвеска на опорах. Такой вариант подвеса привел к существенному росту проникновения интернета по технологии FTTH/FTTB. В тоже время из-за отсутствия установленных правил подвеса таких сетей, провода размещаются порой в хаотичном порядке и нарушают эстетичный вид местности.</w:t>
      </w:r>
    </w:p>
    <w:p>
      <w:pPr>
        <w:spacing w:after="60"/>
        <w:ind w:firstLine="567"/>
        <w:jc w:val="both"/>
      </w:pPr>
      <w:r>
        <w:rPr>
          <w:rFonts w:ascii="Arial" w:cs="Arial" w:eastAsia="Arial" w:hAnsi="Arial"/>
          <w:sz w:val="24"/>
          <w:szCs w:val="24"/>
        </w:rPr>
        <w:t xml:space="preserve">Отрицательным образом проявляется и отмена обязательств у строительных компаний строительства кабельного ввода и инженерных сооружений, предназначенных для присоединения к общей кабельной канализации. В этой связи необходимо разработать соответствующий регламент для компаний застройщиков и управляющих организаций, обеспечивающий оперативный доступ к шахтам (канализациям), предназначенным для размещения телекоммуникационного оборудования с приложением стоимости таких услуг и порядка его расчетов.</w:t>
      </w:r>
    </w:p>
    <w:p>
      <w:pPr>
        <w:spacing w:after="60" w:before="200"/>
        <w:ind w:firstLine="567"/>
        <w:jc w:val="both"/>
      </w:pPr>
      <w:r>
        <w:rPr>
          <w:rFonts w:ascii="Arial" w:cs="Arial" w:eastAsia="Arial" w:hAnsi="Arial"/>
          <w:b/>
          <w:bCs/>
          <w:sz w:val="24"/>
          <w:szCs w:val="24"/>
        </w:rPr>
        <w:t xml:space="preserve">Беспроводная "последняя миля"</w:t>
      </w:r>
    </w:p>
    <w:p>
      <w:pPr>
        <w:spacing w:after="60"/>
        <w:ind w:firstLine="567"/>
        <w:jc w:val="both"/>
      </w:pPr>
      <w:r>
        <w:rPr>
          <w:rFonts w:ascii="Arial" w:cs="Arial" w:eastAsia="Arial" w:hAnsi="Arial"/>
          <w:sz w:val="24"/>
          <w:szCs w:val="24"/>
        </w:rPr>
        <w:t xml:space="preserve">Беспроводная связь конкурирует с проводной очень активно. Большинство операторов фиксированной связи имеют свои программы реализации беспроводных технологий, ориентированных на Wi-Fi. Это "уличные" проекты, проекты для стадионов и т.д. Мобильные операторы используют Wi-Fi для организации фиксированной связи: учебные заведения, отделения здравоохранения, точки сферы услуг, сбыта товаров и прочее. Эту возможность обеспечивает Е-диапазон (60 ГГц), ставший новым стандартом Wi-Fi. Благодаря новому стандарту уже скоро можно будет передавать до 250 Мбит/с при очень небольшой цене - соответствующее оборудование уже есть на рынке.</w:t>
      </w:r>
    </w:p>
    <w:p>
      <w:pPr>
        <w:spacing w:after="60" w:before="200"/>
        <w:ind w:firstLine="567"/>
        <w:jc w:val="both"/>
      </w:pPr>
      <w:r>
        <w:rPr>
          <w:rFonts w:ascii="Arial" w:cs="Arial" w:eastAsia="Arial" w:hAnsi="Arial"/>
          <w:b/>
          <w:bCs/>
          <w:sz w:val="24"/>
          <w:szCs w:val="24"/>
        </w:rPr>
        <w:t xml:space="preserve">Спутниковая "последняя миля"</w:t>
      </w:r>
    </w:p>
    <w:p>
      <w:pPr>
        <w:spacing w:after="60"/>
        <w:ind w:firstLine="567"/>
        <w:jc w:val="both"/>
      </w:pPr>
      <w:r>
        <w:rPr>
          <w:rFonts w:ascii="Arial" w:cs="Arial" w:eastAsia="Arial" w:hAnsi="Arial"/>
          <w:sz w:val="24"/>
          <w:szCs w:val="24"/>
        </w:rPr>
        <w:t xml:space="preserve">На текущий момент уже доступна возможность организации услуг связи для физических лиц на скорости 40 Мбит/с. А для специализированных задач, будь то построение корпоративных сетей или магистральных каналов передачи данных, уже доступны скорости до 200 Мбит/с.</w:t>
      </w:r>
    </w:p>
    <w:p>
      <w:pPr>
        <w:spacing w:after="60" w:before="200"/>
        <w:ind w:firstLine="567"/>
        <w:jc w:val="both"/>
      </w:pPr>
      <w:r>
        <w:rPr>
          <w:rFonts w:ascii="Arial" w:cs="Arial" w:eastAsia="Arial" w:hAnsi="Arial"/>
          <w:b/>
          <w:bCs/>
          <w:sz w:val="24"/>
          <w:szCs w:val="24"/>
        </w:rPr>
        <w:t xml:space="preserve">Радиорелейные линии связи</w:t>
      </w:r>
    </w:p>
    <w:p>
      <w:pPr>
        <w:spacing w:after="60"/>
        <w:ind w:firstLine="567"/>
        <w:jc w:val="both"/>
      </w:pPr>
      <w:r>
        <w:rPr>
          <w:rFonts w:ascii="Arial" w:cs="Arial" w:eastAsia="Arial" w:hAnsi="Arial"/>
          <w:sz w:val="24"/>
          <w:szCs w:val="24"/>
        </w:rPr>
        <w:t xml:space="preserve">Радиорелейная связь широко используется в республике, а протяженность радиорелейных линий связи составляет десятки тысяч километров. К 2000 году было завершено строительство цифровых магистральных линий общей протяженностью более 2000 километров, охвативших все регионы страны, вследствие чего все областные центры и большая часть районных центров получили современную качественную цифровую связь. Благодаря этому не только в центре, но и на периферии быстро начали развиваться информационные технологии, а большая часть населения получила возможность доступа к полному спектру современных телекоммуникационных услуг. На сегодняшний день радиорелейная связь используется в диапазонах радиочастот: 6L, 6Н, 7ГГц, 8ГГц, 10/11ГГц, 12/13ГГЦ, 14/15ГГц, 17/19ГГц, 21/23ГГц, 24/26ГГц, 27/29ГГц, 37/38ГГц, 71-76ГГц и 81-86ГГц.</w:t>
      </w:r>
    </w:p>
    <w:p>
      <w:pPr>
        <w:spacing w:after="60"/>
        <w:ind w:firstLine="567"/>
        <w:jc w:val="both"/>
      </w:pPr>
      <w:r>
        <w:rPr>
          <w:rFonts w:ascii="Arial" w:cs="Arial" w:eastAsia="Arial" w:hAnsi="Arial"/>
          <w:sz w:val="24"/>
          <w:szCs w:val="24"/>
        </w:rPr>
        <w:t xml:space="preserve">Основной недостаток радиорелейной линии по сравнению с ВОЛС - невозможность достижения действительно высокой пропускной способности. Максимум, что можно получить это до 10 Гбит/с, в то время, как скорость по оптоволоконной магистрали измеряется Тбит/с.</w:t>
      </w:r>
    </w:p>
    <w:p>
      <w:pPr>
        <w:spacing w:after="60"/>
        <w:ind w:firstLine="567"/>
        <w:jc w:val="both"/>
      </w:pPr>
      <w:r>
        <w:rPr>
          <w:rFonts w:ascii="Arial" w:cs="Arial" w:eastAsia="Arial" w:hAnsi="Arial"/>
          <w:sz w:val="24"/>
          <w:szCs w:val="24"/>
        </w:rPr>
        <w:t xml:space="preserve">Но в отдаленных горных районах, как правило, не требуется высокая пропускная способность, а строить там ВОЛС слишком дорого. Поэтому использование радиорелейной связи для создания магистральных линий связи между регионами и зоновых линий связи внутри регионов широко используется в настоящее время и будет использоваться еще достаточно долго.</w:t>
      </w:r>
    </w:p>
    <w:p>
      <w:pPr>
        <w:spacing w:after="60" w:before="200"/>
        <w:ind w:firstLine="567"/>
        <w:jc w:val="both"/>
      </w:pPr>
      <w:r>
        <w:rPr>
          <w:rFonts w:ascii="Arial" w:cs="Arial" w:eastAsia="Arial" w:hAnsi="Arial"/>
          <w:b/>
          <w:bCs/>
          <w:sz w:val="24"/>
          <w:szCs w:val="24"/>
        </w:rPr>
        <w:t xml:space="preserve">Использование инфраструктуры смежных отраслей</w:t>
      </w:r>
    </w:p>
    <w:p>
      <w:pPr>
        <w:spacing w:after="60"/>
        <w:ind w:firstLine="567"/>
        <w:jc w:val="both"/>
      </w:pPr>
      <w:r>
        <w:rPr>
          <w:rFonts w:ascii="Arial" w:cs="Arial" w:eastAsia="Arial" w:hAnsi="Arial"/>
          <w:sz w:val="24"/>
          <w:szCs w:val="24"/>
        </w:rPr>
        <w:t xml:space="preserve">Использование инфраструктуры сторонних организаций позволяет существенно сократить временные затраты на строительство линий связи, а также повлиять на снижение стоимости окупаемости конечного продукта (организация доступа к сети интернет). В регионах страны прокладка линий связи требует значительных финансовых вложений и временных затрат. В связи с этим операторам электросвязи выгоднее арендовать уже существующую инфраструктуру энергетических компаний (опоры воздушных линий электропередач) для прокладки линий связи. В тоже время для создания льготных условий операторам электросвязи, мотивирующих их на расширение сети, предлагается предусмотреть на равных условиях выдачу технических условий на использование необходимого количества опор линий электропередач с напряжением 0,4-6-10 кВ на условиях аренды с установлением стоимости аренды за одну опору воздушных линий электропередачи напряжением 0,4-6-10 кВ первые пять лет по нулевой стоимости, последующие годы в соответствии с договорными взаимоотношениями.</w:t>
      </w:r>
    </w:p>
    <w:p>
      <w:pPr>
        <w:spacing w:after="60" w:before="200"/>
        <w:ind w:firstLine="567"/>
        <w:jc w:val="both"/>
      </w:pPr>
      <w:r>
        <w:rPr>
          <w:rFonts w:ascii="Arial" w:cs="Arial" w:eastAsia="Arial" w:hAnsi="Arial"/>
          <w:b/>
          <w:bCs/>
          <w:sz w:val="24"/>
          <w:szCs w:val="24"/>
        </w:rPr>
        <w:t xml:space="preserve">Развитие сетей 5G</w:t>
      </w:r>
    </w:p>
    <w:p>
      <w:pPr>
        <w:spacing w:after="60"/>
        <w:ind w:firstLine="567"/>
        <w:jc w:val="both"/>
      </w:pPr>
      <w:r>
        <w:rPr>
          <w:rFonts w:ascii="Arial" w:cs="Arial" w:eastAsia="Arial" w:hAnsi="Arial"/>
          <w:sz w:val="24"/>
          <w:szCs w:val="24"/>
        </w:rPr>
        <w:t xml:space="preserve">В настоящее время предел развития сетей 4G еще не достигнут, но национальная телекоммуникационная отрасль уже стоит на пороге внедрения и развертывания сетей связи пятого поколения - 5G. Новые технологии практически исключат задержки при передаче данных, что будет способствовать повсеместному распространению и внедрению искусственного интеллекта, использование которого возможно в строительстве умных городов и домов, дистанционных пилотируемых автомобилях, при оптимизации процессов на производстве, офисах, торговых центрах и других социальных и производственных объектах.</w:t>
      </w:r>
    </w:p>
    <w:p>
      <w:pPr>
        <w:spacing w:after="60"/>
        <w:ind w:firstLine="567"/>
        <w:jc w:val="both"/>
      </w:pPr>
      <w:r>
        <w:rPr>
          <w:rFonts w:ascii="Arial" w:cs="Arial" w:eastAsia="Arial" w:hAnsi="Arial"/>
          <w:sz w:val="24"/>
          <w:szCs w:val="24"/>
        </w:rPr>
        <w:t xml:space="preserve">В целях подготовки благоприятных экономических, социальных, нормативных и инфраструктурных условий для содействия операторам электросвязи в оперативном и бесшовном внедрении технологий 5G в их строительстве и развертывании требуются соответствующие мероприятия:</w:t>
      </w:r>
    </w:p>
    <w:p>
      <w:pPr>
        <w:spacing w:after="60"/>
        <w:ind w:firstLine="567"/>
        <w:jc w:val="both"/>
      </w:pPr>
      <w:r>
        <w:rPr>
          <w:rFonts w:ascii="Arial" w:cs="Arial" w:eastAsia="Arial" w:hAnsi="Arial"/>
          <w:sz w:val="24"/>
          <w:szCs w:val="24"/>
        </w:rPr>
        <w:t xml:space="preserve">- определить диапазон радиочастот для сетей связи 5G, при необходимости высвободить перспективные полосы от действующих радиоэлектронных средств (Консорциумом 3GPP определены наиболее подходящие полосы: в низкочастотном диапазоне 3,4-3,8 ГГц, 4,8-4,99 ГГц; высокочастотном 24,25-27,5 ГГц и 37-43,5 ГГц с шириной полосы от 60 МГц до 800 МГц);</w:t>
      </w:r>
    </w:p>
    <w:p>
      <w:pPr>
        <w:spacing w:after="60"/>
        <w:ind w:firstLine="567"/>
        <w:jc w:val="both"/>
      </w:pPr>
      <w:r>
        <w:rPr>
          <w:rFonts w:ascii="Arial" w:cs="Arial" w:eastAsia="Arial" w:hAnsi="Arial"/>
          <w:sz w:val="24"/>
          <w:szCs w:val="24"/>
        </w:rPr>
        <w:t xml:space="preserve">- рассмотреть необходимость организации пилотных зон в городах КР, для выявления особенностей взаимодействия сетей 5G с действующими сетями 4G до проведения торгов или конкурсов на право использования радиочастотного спектра. Уполномоченный орган по связи должен рассмотреть необходимость организации пилотных зон в городах КР и тестирования технологии 5G заинтересованными операторами связи.</w:t>
      </w:r>
    </w:p>
    <w:p>
      <w:pPr>
        <w:spacing w:after="60"/>
        <w:ind w:firstLine="567"/>
        <w:jc w:val="both"/>
      </w:pPr>
      <w:r>
        <w:rPr>
          <w:rFonts w:ascii="Arial" w:cs="Arial" w:eastAsia="Arial" w:hAnsi="Arial"/>
          <w:sz w:val="24"/>
          <w:szCs w:val="24"/>
        </w:rPr>
        <w:t xml:space="preserve">Архитектура сетей 5G в значительной степени отличается от архитектуры сетей связи 3G и 4G. Одним из решений является Small Cells - решение простых в установке и обслуживании базовых станций небольшой мощности. Их можно развешивать на мачтах уличного освещения, стенах домов и других объектах. В связи с чем при развертывании и строительстве 5G сетей возникнет вопрос о пересмотре подхода выдачи разрешительных документов и согласований от органов регулирования связи, архитектуры и строительства, органов местного самоуправления, санэпидемнадзора и других государственных органов, задействованных в выдаче соответствующих разрешительных документов.</w:t>
      </w:r>
    </w:p>
    <w:p>
      <w:pPr>
        <w:spacing w:after="60" w:before="200"/>
        <w:ind w:firstLine="567"/>
        <w:jc w:val="both"/>
      </w:pPr>
      <w:r>
        <w:rPr>
          <w:rFonts w:ascii="Arial" w:cs="Arial" w:eastAsia="Arial" w:hAnsi="Arial"/>
          <w:b/>
          <w:bCs/>
          <w:sz w:val="24"/>
          <w:szCs w:val="24"/>
        </w:rPr>
        <w:t xml:space="preserve">Радиофобия</w:t>
      </w:r>
    </w:p>
    <w:p>
      <w:pPr>
        <w:spacing w:after="60"/>
        <w:ind w:firstLine="567"/>
        <w:jc w:val="both"/>
      </w:pPr>
      <w:r>
        <w:rPr>
          <w:rFonts w:ascii="Arial" w:cs="Arial" w:eastAsia="Arial" w:hAnsi="Arial"/>
          <w:sz w:val="24"/>
          <w:szCs w:val="24"/>
        </w:rPr>
        <w:t xml:space="preserve">Среди населения КР сохраняется высокий риск недоброжелательного отношения (радиофобия) к располагающимся объектам связи в районе проживания населения. Внедрение технологии 5G может усугубить ситуацию с радиофобией у населения. В этой связи необходима выработка национальных показателей допустимого уровня потоков электромагнитного излучения от РЭС, основанных на мировом опыте и исследованиях.</w:t>
      </w:r>
    </w:p>
    <w:p>
      <w:pPr>
        <w:spacing w:after="60" w:before="200"/>
        <w:ind w:firstLine="567"/>
        <w:jc w:val="both"/>
      </w:pPr>
      <w:r>
        <w:rPr>
          <w:rFonts w:ascii="Arial" w:cs="Arial" w:eastAsia="Arial" w:hAnsi="Arial"/>
          <w:b/>
          <w:bCs/>
          <w:sz w:val="24"/>
          <w:szCs w:val="24"/>
        </w:rPr>
        <w:t xml:space="preserve">Интернет вещей (</w:t>
      </w:r>
      <w:r>
        <w:rPr>
          <w:rFonts w:ascii="Arial" w:cs="Arial" w:eastAsia="Arial" w:hAnsi="Arial"/>
          <w:b/>
          <w:bCs/>
          <w:sz w:val="24"/>
          <w:szCs w:val="24"/>
        </w:rPr>
        <w:t xml:space="preserve">IoT</w:t>
      </w:r>
      <w:r>
        <w:rPr>
          <w:rFonts w:ascii="Arial" w:cs="Arial" w:eastAsia="Arial" w:hAnsi="Arial"/>
          <w:b/>
          <w:bCs/>
          <w:sz w:val="24"/>
          <w:szCs w:val="24"/>
        </w:rPr>
        <w:t xml:space="preserve">)/интернет всего (</w:t>
      </w:r>
      <w:r>
        <w:rPr>
          <w:rFonts w:ascii="Arial" w:cs="Arial" w:eastAsia="Arial" w:hAnsi="Arial"/>
          <w:b/>
          <w:bCs/>
          <w:sz w:val="24"/>
          <w:szCs w:val="24"/>
        </w:rPr>
        <w:t xml:space="preserve">I</w:t>
      </w:r>
      <w:r>
        <w:rPr>
          <w:rFonts w:ascii="Arial" w:cs="Arial" w:eastAsia="Arial" w:hAnsi="Arial"/>
          <w:b/>
          <w:bCs/>
          <w:sz w:val="24"/>
          <w:szCs w:val="24"/>
        </w:rPr>
        <w:t xml:space="preserve">оЕ)</w:t>
      </w:r>
    </w:p>
    <w:p>
      <w:pPr>
        <w:spacing w:after="60"/>
        <w:ind w:firstLine="567"/>
        <w:jc w:val="both"/>
      </w:pPr>
      <w:r>
        <w:rPr>
          <w:rFonts w:ascii="Arial" w:cs="Arial" w:eastAsia="Arial" w:hAnsi="Arial"/>
          <w:sz w:val="24"/>
          <w:szCs w:val="24"/>
        </w:rPr>
        <w:t xml:space="preserve">Развитие </w:t>
      </w:r>
      <w:r>
        <w:rPr>
          <w:rFonts w:ascii="Arial" w:cs="Arial" w:eastAsia="Arial" w:hAnsi="Arial"/>
          <w:sz w:val="24"/>
          <w:szCs w:val="24"/>
        </w:rPr>
        <w:t xml:space="preserve">IoT</w:t>
      </w:r>
      <w:r>
        <w:rPr>
          <w:rFonts w:ascii="Arial" w:cs="Arial" w:eastAsia="Arial" w:hAnsi="Arial"/>
          <w:sz w:val="24"/>
          <w:szCs w:val="24"/>
        </w:rPr>
        <w:t xml:space="preserve"> подразумевает под собой повсеместное использование различного рода датчиков, передающих сигналы о состоянии объекта, в котором они установлены. Внедрение </w:t>
      </w:r>
      <w:r>
        <w:rPr>
          <w:rFonts w:ascii="Arial" w:cs="Arial" w:eastAsia="Arial" w:hAnsi="Arial"/>
          <w:sz w:val="24"/>
          <w:szCs w:val="24"/>
        </w:rPr>
        <w:t xml:space="preserve">IoT</w:t>
      </w:r>
      <w:r>
        <w:rPr>
          <w:rFonts w:ascii="Arial" w:cs="Arial" w:eastAsia="Arial" w:hAnsi="Arial"/>
          <w:sz w:val="24"/>
          <w:szCs w:val="24"/>
        </w:rPr>
        <w:t xml:space="preserve"> позволяет снизить расходы и повысить производительность труда практически в любой отрасли. В настоящее время устройства </w:t>
      </w:r>
      <w:r>
        <w:rPr>
          <w:rFonts w:ascii="Arial" w:cs="Arial" w:eastAsia="Arial" w:hAnsi="Arial"/>
          <w:sz w:val="24"/>
          <w:szCs w:val="24"/>
        </w:rPr>
        <w:t xml:space="preserve">IoT</w:t>
      </w:r>
      <w:r>
        <w:rPr>
          <w:rFonts w:ascii="Arial" w:cs="Arial" w:eastAsia="Arial" w:hAnsi="Arial"/>
          <w:sz w:val="24"/>
          <w:szCs w:val="24"/>
        </w:rPr>
        <w:t xml:space="preserve"> подключаются через широкий набор радиотехнологий (узкополосные беспроводные сети), в том числе по таким стандартам как </w:t>
      </w:r>
      <w:r>
        <w:rPr>
          <w:rFonts w:ascii="Arial" w:cs="Arial" w:eastAsia="Arial" w:hAnsi="Arial"/>
          <w:sz w:val="24"/>
          <w:szCs w:val="24"/>
        </w:rPr>
        <w:t xml:space="preserve">IEEE</w:t>
      </w:r>
      <w:r>
        <w:rPr>
          <w:rFonts w:ascii="Arial" w:cs="Arial" w:eastAsia="Arial" w:hAnsi="Arial"/>
          <w:sz w:val="24"/>
          <w:szCs w:val="24"/>
        </w:rPr>
        <w:t xml:space="preserve"> 802.11 и 802.15, а также с использованием сетей мобильной подвижной связи стандартов GSM, UMTS и LTE.</w:t>
      </w:r>
    </w:p>
    <w:p>
      <w:pPr>
        <w:spacing w:after="60"/>
        <w:ind w:firstLine="567"/>
        <w:jc w:val="both"/>
      </w:pPr>
      <w:r>
        <w:rPr>
          <w:rFonts w:ascii="Arial" w:cs="Arial" w:eastAsia="Arial" w:hAnsi="Arial"/>
          <w:sz w:val="24"/>
          <w:szCs w:val="24"/>
        </w:rPr>
        <w:t xml:space="preserve">Ключевыми особенностями узкополосных беспроводных сетей связи </w:t>
      </w:r>
      <w:r>
        <w:rPr>
          <w:rFonts w:ascii="Arial" w:cs="Arial" w:eastAsia="Arial" w:hAnsi="Arial"/>
          <w:sz w:val="24"/>
          <w:szCs w:val="24"/>
        </w:rPr>
        <w:t xml:space="preserve">IoT </w:t>
      </w:r>
      <w:r>
        <w:rPr>
          <w:rFonts w:ascii="Arial" w:cs="Arial" w:eastAsia="Arial" w:hAnsi="Arial"/>
          <w:sz w:val="24"/>
          <w:szCs w:val="24"/>
        </w:rPr>
        <w:t xml:space="preserve">являются: низкая стоимость услуг в пересчете на одно устройство, низкие потребности в пропускной способности на одно устройство, низкое энергопотребление устройств и т.д.</w:t>
      </w:r>
    </w:p>
    <w:p>
      <w:pPr>
        <w:spacing w:after="60"/>
        <w:ind w:firstLine="567"/>
        <w:jc w:val="both"/>
      </w:pPr>
      <w:r>
        <w:rPr>
          <w:rFonts w:ascii="Arial" w:cs="Arial" w:eastAsia="Arial" w:hAnsi="Arial"/>
          <w:sz w:val="24"/>
          <w:szCs w:val="24"/>
        </w:rPr>
        <w:t xml:space="preserve">Требуется внесение изменений в нормативные правовые акты, направленные на регулирование предоставления и получения таких услуг.</w:t>
      </w:r>
    </w:p>
    <w:p>
      <w:pPr>
        <w:spacing w:after="60" w:before="200"/>
        <w:ind w:firstLine="567"/>
        <w:jc w:val="both"/>
      </w:pPr>
      <w:r>
        <w:rPr>
          <w:rFonts w:ascii="Arial" w:cs="Arial" w:eastAsia="Arial" w:hAnsi="Arial"/>
          <w:b/>
          <w:bCs/>
          <w:sz w:val="24"/>
          <w:szCs w:val="24"/>
        </w:rPr>
        <w:t xml:space="preserve">Конверсия радиочастотного спектра</w:t>
      </w:r>
    </w:p>
    <w:p>
      <w:pPr>
        <w:spacing w:after="60"/>
        <w:ind w:firstLine="567"/>
        <w:jc w:val="both"/>
      </w:pPr>
      <w:r>
        <w:rPr>
          <w:rFonts w:ascii="Arial" w:cs="Arial" w:eastAsia="Arial" w:hAnsi="Arial"/>
          <w:sz w:val="24"/>
          <w:szCs w:val="24"/>
        </w:rPr>
        <w:t xml:space="preserve">Проведение конверсии радиочастотного спектра заложено в подпункте 29.1. Плана мероприятий по цифровизации управления и развития цифровой инфраструктуры в КР на 2022-2023 годы, утвержденного распоряжением Кабинета Министров КР от 12 января 2022 года № 2-р. Согласно </w:t>
      </w:r>
      <w:hyperlink w:history="1" r:id="rIdhnvtqafpqb2pl3ofvz083">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КР "Об электрической и почтовой связи" потребуется разработка правил проведения конверсии радиочастотного спектра и методики технико-экономического обоснования затрат на проведение конверсии радиочастотного спектра.</w:t>
      </w:r>
    </w:p>
    <w:p>
      <w:pPr>
        <w:spacing w:after="60"/>
        <w:ind w:firstLine="567"/>
        <w:jc w:val="both"/>
      </w:pPr>
      <w:r>
        <w:rPr>
          <w:rFonts w:ascii="Arial" w:cs="Arial" w:eastAsia="Arial" w:hAnsi="Arial"/>
          <w:sz w:val="24"/>
          <w:szCs w:val="24"/>
        </w:rPr>
        <w:t xml:space="preserve">Для конверсии радиочастотного спектра важным требованием является разделение полос радиочастот для правительственного, гражданского и совместного использования.</w:t>
      </w:r>
    </w:p>
    <w:p>
      <w:pPr>
        <w:spacing w:after="60"/>
        <w:ind w:firstLine="567"/>
        <w:jc w:val="both"/>
      </w:pPr>
      <w:r>
        <w:rPr>
          <w:rFonts w:ascii="Arial" w:cs="Arial" w:eastAsia="Arial" w:hAnsi="Arial"/>
          <w:sz w:val="24"/>
          <w:szCs w:val="24"/>
        </w:rPr>
        <w:t xml:space="preserve">Такое разделение дает следующие преимущества:</w:t>
      </w:r>
    </w:p>
    <w:p>
      <w:pPr>
        <w:spacing w:after="60"/>
        <w:ind w:firstLine="567"/>
        <w:jc w:val="both"/>
      </w:pPr>
      <w:r>
        <w:rPr>
          <w:rFonts w:ascii="Arial" w:cs="Arial" w:eastAsia="Arial" w:hAnsi="Arial"/>
          <w:sz w:val="24"/>
          <w:szCs w:val="24"/>
        </w:rPr>
        <w:t xml:space="preserve">- упрощенное планирование радиочастотного спектра для действующих и планируемых сетей связи на территории КР;</w:t>
      </w:r>
    </w:p>
    <w:p>
      <w:pPr>
        <w:spacing w:after="60"/>
        <w:ind w:firstLine="567"/>
        <w:jc w:val="both"/>
      </w:pPr>
      <w:r>
        <w:rPr>
          <w:rFonts w:ascii="Arial" w:cs="Arial" w:eastAsia="Arial" w:hAnsi="Arial"/>
          <w:sz w:val="24"/>
          <w:szCs w:val="24"/>
        </w:rPr>
        <w:t xml:space="preserve">- защита коммерчески привлекательного радиочастотного спектра, подлежащего реализации через торги (конкурс/аукцион);</w:t>
      </w:r>
    </w:p>
    <w:p>
      <w:pPr>
        <w:spacing w:after="60"/>
        <w:ind w:firstLine="567"/>
        <w:jc w:val="both"/>
      </w:pPr>
      <w:r>
        <w:rPr>
          <w:rFonts w:ascii="Arial" w:cs="Arial" w:eastAsia="Arial" w:hAnsi="Arial"/>
          <w:sz w:val="24"/>
          <w:szCs w:val="24"/>
        </w:rPr>
        <w:t xml:space="preserve">- согласованное использование радиочастотного спектра между гражданским и силовым секторами;</w:t>
      </w:r>
    </w:p>
    <w:p>
      <w:pPr>
        <w:spacing w:after="60"/>
        <w:ind w:firstLine="567"/>
        <w:jc w:val="both"/>
      </w:pPr>
      <w:r>
        <w:rPr>
          <w:rFonts w:ascii="Arial" w:cs="Arial" w:eastAsia="Arial" w:hAnsi="Arial"/>
          <w:sz w:val="24"/>
          <w:szCs w:val="24"/>
        </w:rPr>
        <w:t xml:space="preserve">- минимизация рисков возникновения взаимных помех при совместном использовании радиочастотного спектра.</w:t>
      </w:r>
    </w:p>
    <w:p>
      <w:pPr>
        <w:spacing w:after="60"/>
        <w:ind w:firstLine="567"/>
        <w:jc w:val="both"/>
      </w:pPr>
      <w:r>
        <w:rPr>
          <w:rFonts w:ascii="Arial" w:cs="Arial" w:eastAsia="Arial" w:hAnsi="Arial"/>
          <w:sz w:val="24"/>
          <w:szCs w:val="24"/>
        </w:rPr>
        <w:t xml:space="preserve">Для разделения радиочастот между силовым и гражданским секторами в первую очередь необходимо провести тщательный анализ по действующему и планируемому использованию радиочастотного спектра со стороны силовых структур. На основе анализа требуется составить фактическую картину задействованного радиочастотного спектра. Исходя из потребности в спектре для силовых служб, необходимо составить план размещения радиочастот для них.</w:t>
      </w:r>
    </w:p>
    <w:p>
      <w:pPr>
        <w:spacing w:after="60" w:before="200"/>
        <w:ind w:firstLine="567"/>
        <w:jc w:val="both"/>
      </w:pPr>
      <w:r>
        <w:rPr>
          <w:rFonts w:ascii="Arial" w:cs="Arial" w:eastAsia="Arial" w:hAnsi="Arial"/>
          <w:b/>
          <w:bCs/>
          <w:sz w:val="24"/>
          <w:szCs w:val="24"/>
        </w:rPr>
        <w:t xml:space="preserve">Оснащенность регулятора связи</w:t>
      </w:r>
    </w:p>
    <w:p>
      <w:pPr>
        <w:spacing w:after="60"/>
        <w:ind w:firstLine="567"/>
        <w:jc w:val="both"/>
      </w:pPr>
      <w:r>
        <w:rPr>
          <w:rFonts w:ascii="Arial" w:cs="Arial" w:eastAsia="Arial" w:hAnsi="Arial"/>
          <w:sz w:val="24"/>
          <w:szCs w:val="24"/>
        </w:rPr>
        <w:t xml:space="preserve">С развитием радиочастотных сетей и оборудования все больше пользователей ресурса готовы выходить на рынок, и не всегда легально, тем самым создавая радиопомехи в эфире. В этой связи требуется приобретение комплексных решений в виде аппаратно-программных средств для пресечения подобных действий. Программное обеспечение системы управления радиочастотным спектром включает в себя программный комплекс, призванный решать задачи лицензирования, планирования радиочастотного спектра, технического анализа и координации, а также картографический материал.</w:t>
      </w:r>
    </w:p>
    <w:p>
      <w:pPr>
        <w:spacing w:after="60"/>
        <w:ind w:firstLine="567"/>
        <w:jc w:val="both"/>
      </w:pPr>
      <w:r>
        <w:rPr>
          <w:rFonts w:ascii="Arial" w:cs="Arial" w:eastAsia="Arial" w:hAnsi="Arial"/>
          <w:sz w:val="24"/>
          <w:szCs w:val="24"/>
        </w:rPr>
        <w:t xml:space="preserve">Эксплуатация программного обеспечения позволит улучшить не только качество и точность расчетов, но и ускорить процедуры выдачи разрешительных документов, планирования радиочастотного спектра, технического анализа и международной координации радиочастот.</w:t>
      </w:r>
    </w:p>
    <w:p>
      <w:pPr>
        <w:spacing w:after="60"/>
        <w:ind w:firstLine="567"/>
        <w:jc w:val="both"/>
      </w:pPr>
      <w:r>
        <w:rPr>
          <w:rFonts w:ascii="Arial" w:cs="Arial" w:eastAsia="Arial" w:hAnsi="Arial"/>
          <w:sz w:val="24"/>
          <w:szCs w:val="24"/>
        </w:rPr>
        <w:t xml:space="preserve">Учитывая темпы развития технологий связи, регулятору связи требуется модернизация системы радиомониторинга путем приобретения измерительного комплекса для проведения измерений параметров сетей мобильной связи и их оптимизации, что позволяет проводить измерения качества предоставляемых услуг - анализ качества голоса и видео, скорость и качество мобильного интернета в соответствии с мировыми стандартами, а также анализ интерференции и оптимизация сетей мобильной сотовой связи.</w:t>
      </w:r>
    </w:p>
    <w:p>
      <w:pPr>
        <w:spacing w:after="60" w:before="200"/>
        <w:ind w:firstLine="567"/>
        <w:jc w:val="both"/>
      </w:pPr>
      <w:r>
        <w:rPr>
          <w:rFonts w:ascii="Arial" w:cs="Arial" w:eastAsia="Arial" w:hAnsi="Arial"/>
          <w:b/>
          <w:bCs/>
          <w:sz w:val="24"/>
          <w:szCs w:val="24"/>
        </w:rPr>
        <w:t xml:space="preserve">Сертификация в области электрической связи</w:t>
      </w:r>
    </w:p>
    <w:p>
      <w:pPr>
        <w:spacing w:after="60"/>
        <w:ind w:firstLine="567"/>
        <w:jc w:val="both"/>
      </w:pPr>
      <w:r>
        <w:rPr>
          <w:rFonts w:ascii="Arial" w:cs="Arial" w:eastAsia="Arial" w:hAnsi="Arial"/>
          <w:sz w:val="24"/>
          <w:szCs w:val="24"/>
        </w:rPr>
        <w:t xml:space="preserve">Телекоммуникационное оборудование в нашей стране не производится, то есть оценить безопасность продукции на стадии ее проектирования и изготовления не представляется возможным. Действующая система подтверждения соответствия продукции, в том числе обязательная сертификация продукции, остается единственным механизмом оценки выполнения требований по обеспечению безопасности оборудования в области электрической связи.</w:t>
      </w:r>
    </w:p>
    <w:p>
      <w:pPr>
        <w:spacing w:after="60"/>
        <w:ind w:firstLine="567"/>
        <w:jc w:val="both"/>
      </w:pPr>
      <w:r>
        <w:rPr>
          <w:rFonts w:ascii="Arial" w:cs="Arial" w:eastAsia="Arial" w:hAnsi="Arial"/>
          <w:sz w:val="24"/>
          <w:szCs w:val="24"/>
        </w:rPr>
        <w:t xml:space="preserve">Деятельность в области подтверждения соответствия сертифицированного оборудования и продукции (услуг) электрической и почтовой связи в КР регламентируются законами КР "</w:t>
      </w:r>
      <w:hyperlink w:history="1" r:id="rIdnxg307jwyvomhrzaorf83">
        <w:r>
          <w:rPr>
            <w:rFonts w:ascii="Arial" w:cs="Arial" w:eastAsia="Arial" w:hAnsi="Arial"/>
            <w:color w:val="1D4ED8"/>
            <w:sz w:val="24"/>
            <w:szCs w:val="24"/>
            <w:u w:val="single"/>
          </w:rPr>
          <w:t xml:space="preserve">Об основах технического регулирования в КР</w:t>
        </w:r>
      </w:hyperlink>
      <w:r>
        <w:rPr>
          <w:rFonts w:ascii="Arial" w:cs="Arial" w:eastAsia="Arial" w:hAnsi="Arial"/>
          <w:sz w:val="24"/>
          <w:szCs w:val="24"/>
        </w:rPr>
        <w:t xml:space="preserve">", "</w:t>
      </w:r>
      <w:hyperlink w:history="1" r:id="rIdkh7b6rduxufsepv5qtrbx">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а также целым рядом постановлений Правительства КР.</w:t>
      </w:r>
    </w:p>
    <w:p>
      <w:pPr>
        <w:spacing w:after="60"/>
        <w:ind w:firstLine="567"/>
        <w:jc w:val="both"/>
      </w:pPr>
      <w:r>
        <w:rPr>
          <w:rFonts w:ascii="Arial" w:cs="Arial" w:eastAsia="Arial" w:hAnsi="Arial"/>
          <w:sz w:val="24"/>
          <w:szCs w:val="24"/>
        </w:rPr>
        <w:t xml:space="preserve">Основными целями сертификации в отрасли связи являются защита потребительского рынка от недоброкачественной и небезопасной продукции, а также обеспечение соответствия электробезопасности и электромагнитной совместимости технических средств связи.</w:t>
      </w:r>
    </w:p>
    <w:p>
      <w:pPr>
        <w:spacing w:after="60"/>
        <w:ind w:firstLine="567"/>
        <w:jc w:val="both"/>
      </w:pPr>
      <w:r>
        <w:rPr>
          <w:rFonts w:ascii="Arial" w:cs="Arial" w:eastAsia="Arial" w:hAnsi="Arial"/>
          <w:sz w:val="24"/>
          <w:szCs w:val="24"/>
        </w:rPr>
        <w:t xml:space="preserve">Учитывая темпы развития информационных технологий, требуется осуществить мероприятия, направленные на модернизацию оборудования испытательной лаборатории уполномоченного государственного органа по связи, для подтверждения соответствия технических средств (мобильных средств связи), ввозимых на территорию КР, техническим требованиям по параметрам радиочастотного спектра. Также необходимо закупить аппаратно-программный комплекс, предназначенный для испытаний и автоматизированного измерения параметров систем радиосвязи и оборудования, параметров навигационных модулей и т.п.</w:t>
      </w:r>
    </w:p>
    <w:p>
      <w:pPr>
        <w:spacing w:after="60" w:before="200"/>
        <w:ind w:firstLine="567"/>
        <w:jc w:val="both"/>
      </w:pPr>
      <w:r>
        <w:rPr>
          <w:rFonts w:ascii="Arial" w:cs="Arial" w:eastAsia="Arial" w:hAnsi="Arial"/>
          <w:b/>
          <w:bCs/>
          <w:sz w:val="24"/>
          <w:szCs w:val="24"/>
        </w:rPr>
        <w:t xml:space="preserve">Подготовка кадров для отрасли электрической связи</w:t>
      </w:r>
    </w:p>
    <w:p>
      <w:pPr>
        <w:spacing w:after="60"/>
        <w:ind w:firstLine="567"/>
        <w:jc w:val="both"/>
      </w:pPr>
      <w:r>
        <w:rPr>
          <w:rFonts w:ascii="Arial" w:cs="Arial" w:eastAsia="Arial" w:hAnsi="Arial"/>
          <w:sz w:val="24"/>
          <w:szCs w:val="24"/>
        </w:rPr>
        <w:t xml:space="preserve">В Концепции цифровой трансформации "Цифровой Кыргызстан 2019-2023", одобренной решением Совета безопасности КР от 14 декабря 2018 года № 2, важное место занимают процессы как подготовки специалистов в сфере ИКТ, так и подготовки отраслей, предприятий, населения и структур государственного и муниципального управления к цифровой трансформации.</w:t>
      </w:r>
    </w:p>
    <w:p>
      <w:pPr>
        <w:spacing w:after="60"/>
        <w:ind w:firstLine="567"/>
        <w:jc w:val="both"/>
      </w:pPr>
      <w:r>
        <w:rPr>
          <w:rFonts w:ascii="Arial" w:cs="Arial" w:eastAsia="Arial" w:hAnsi="Arial"/>
          <w:sz w:val="24"/>
          <w:szCs w:val="24"/>
        </w:rPr>
        <w:t xml:space="preserve">В КР 17 вузов ведут образовательную деятельность в области информационных систем, инфокоммуникационных технологий и систем связи.</w:t>
      </w:r>
    </w:p>
    <w:p>
      <w:pPr>
        <w:spacing w:after="60"/>
        <w:ind w:firstLine="567"/>
        <w:jc w:val="both"/>
      </w:pPr>
      <w:r>
        <w:rPr>
          <w:rFonts w:ascii="Arial" w:cs="Arial" w:eastAsia="Arial" w:hAnsi="Arial"/>
          <w:sz w:val="24"/>
          <w:szCs w:val="24"/>
        </w:rPr>
        <w:t xml:space="preserve">По результатам проведенного опроса среди операторов электросвязи по оценке удовлетворенности работодателя качеством подготовки выпускников вузов КР в области ИКТ можно отметить, что уровень теоретической и практической подготовки выпускников вузов составляет менее 50%. Следствием этого является привлечение и наем специалистов извне, то есть нанимаются иностранные специалисты. Кроме этого, операторы электросвязи самостоятельно создают собственные учебные центры и программы обучения персонала на базе предприятия, таким образом 60% работодателей предпочитают доучивать и переучивать своих работников. Этот показатель указывает на наличие дефицита в квалифицированных специалистах в области инфокоммуникационных технологий.</w:t>
      </w:r>
    </w:p>
    <w:p>
      <w:pPr>
        <w:spacing w:after="60"/>
        <w:ind w:firstLine="567"/>
        <w:jc w:val="both"/>
      </w:pPr>
      <w:r>
        <w:rPr>
          <w:rFonts w:ascii="Arial" w:cs="Arial" w:eastAsia="Arial" w:hAnsi="Arial"/>
          <w:sz w:val="24"/>
          <w:szCs w:val="24"/>
        </w:rPr>
        <w:t xml:space="preserve">Компании, действующие в отрасли рекомендуют запретить в вузах выпуск кадров по тем направлениям и профилям, по которым они не имеют учебную лабораторную базу. Также были сделаны предложения о патронаже со стороны администрации связи над одним из вузов, выпускающим кадры в области связи и ИКТ, придав ему статус отраслевого вуза.</w:t>
      </w:r>
    </w:p>
    <w:p>
      <w:pPr>
        <w:spacing w:after="60" w:before="200"/>
        <w:ind w:firstLine="567"/>
        <w:jc w:val="both"/>
      </w:pPr>
      <w:r>
        <w:rPr>
          <w:rFonts w:ascii="Arial" w:cs="Arial" w:eastAsia="Arial" w:hAnsi="Arial"/>
          <w:b/>
          <w:bCs/>
          <w:sz w:val="24"/>
          <w:szCs w:val="24"/>
        </w:rPr>
        <w:t xml:space="preserve">Налогообложение</w:t>
      </w:r>
    </w:p>
    <w:p>
      <w:pPr>
        <w:spacing w:after="60"/>
        <w:ind w:firstLine="567"/>
        <w:jc w:val="both"/>
      </w:pPr>
      <w:r>
        <w:rPr>
          <w:rFonts w:ascii="Arial" w:cs="Arial" w:eastAsia="Arial" w:hAnsi="Arial"/>
          <w:sz w:val="24"/>
          <w:szCs w:val="24"/>
        </w:rPr>
        <w:t xml:space="preserve">В Регламенте МСЭ изложено международное правило о невзимании налогов с администраций (операторов) электросвязи при взаиморасчетах с администрациями (операторами) электросвязи других стран за международные услуги электросвязи, а именно, в статье 6 "Тарификация и расчеты" предусмотрено, что, если в соответствии с национальным законодательством какой-либо страны предусматривается налог на взимание таксы за международные службы электросвязи, то этим налогом облагаются, как правило, только те международные услуги электросвязи, которые оплачиваются клиентами этой страны, если отсутствуют другие соглашения, заключаемые для конкретных специальных случаев.</w:t>
      </w:r>
    </w:p>
    <w:p>
      <w:pPr>
        <w:spacing w:after="60"/>
        <w:ind w:firstLine="567"/>
        <w:jc w:val="both"/>
      </w:pPr>
      <w:r>
        <w:rPr>
          <w:rFonts w:ascii="Arial" w:cs="Arial" w:eastAsia="Arial" w:hAnsi="Arial"/>
          <w:sz w:val="24"/>
          <w:szCs w:val="24"/>
        </w:rPr>
        <w:t xml:space="preserve">Для укрепления инвестиционной привлекательности и приведения норм законодательства в соответствие с нормами международного права требуется устранить сложившийся правовой дефект, так как международные договоры, в том числе Договор о ЕАЭС, накладывают на КР обязательства соблюдать нормы заключенных договоров в части соблюдения принципа резидентства при уплате косвенных налогов исключения двойного налогообложения и уплаты налогов только в той стране, в которой фактический исполнитель "продавец" услуги, оказывающий услуги абоненту, прибывшему на территорию КР, является налогоплательщиком.</w:t>
      </w:r>
    </w:p>
    <w:p>
      <w:pPr>
        <w:spacing w:after="60" w:before="200"/>
        <w:ind w:firstLine="567"/>
        <w:jc w:val="both"/>
      </w:pPr>
      <w:r>
        <w:rPr>
          <w:rFonts w:ascii="Arial" w:cs="Arial" w:eastAsia="Arial" w:hAnsi="Arial"/>
          <w:b/>
          <w:bCs/>
          <w:sz w:val="24"/>
          <w:szCs w:val="24"/>
        </w:rPr>
        <w:t xml:space="preserve">Межоператорское сотрудничество</w:t>
      </w:r>
    </w:p>
    <w:p>
      <w:pPr>
        <w:spacing w:after="60"/>
        <w:ind w:firstLine="567"/>
        <w:jc w:val="both"/>
      </w:pPr>
      <w:r>
        <w:rPr>
          <w:rFonts w:ascii="Arial" w:cs="Arial" w:eastAsia="Arial" w:hAnsi="Arial"/>
          <w:sz w:val="24"/>
          <w:szCs w:val="24"/>
        </w:rPr>
        <w:t xml:space="preserve">Для межоператорского сотрудничества и создания комфортной среды для потребителей и инвесторов необходимо соблюдение следующих тенденций:</w:t>
      </w:r>
    </w:p>
    <w:p>
      <w:pPr>
        <w:spacing w:after="60"/>
        <w:ind w:firstLine="567"/>
        <w:jc w:val="both"/>
      </w:pPr>
      <w:r>
        <w:rPr>
          <w:rFonts w:ascii="Arial" w:cs="Arial" w:eastAsia="Arial" w:hAnsi="Arial"/>
          <w:sz w:val="24"/>
          <w:szCs w:val="24"/>
        </w:rPr>
        <w:t xml:space="preserve">1) расширение сотрудничества между операторами связи КР по совместному использованию телекоммуникационного оборудования мобильной сотовой связи, в том числе для обеспечения связью труднодоступных и малонаселенных пунктов страны, а также с целью сокращения расходов на приобретение и обслуживание телекоммуникационного оборудования;</w:t>
      </w:r>
    </w:p>
    <w:p>
      <w:pPr>
        <w:spacing w:after="60"/>
        <w:ind w:firstLine="567"/>
        <w:jc w:val="both"/>
      </w:pPr>
      <w:r>
        <w:rPr>
          <w:rFonts w:ascii="Arial" w:cs="Arial" w:eastAsia="Arial" w:hAnsi="Arial"/>
          <w:sz w:val="24"/>
          <w:szCs w:val="24"/>
        </w:rPr>
        <w:t xml:space="preserve">2) сотрудничество между операторами подвижной радиосвязи и операторами фиксированной связи в области создания необходимой инфраструктуры для дальнейшего развития широкополосных и высокоскоростных технологий передачи данных: аренда и совместное строительство транспортной сети, ВОЛС, узловых сайтов;</w:t>
      </w:r>
    </w:p>
    <w:p>
      <w:pPr>
        <w:spacing w:after="60"/>
        <w:ind w:firstLine="567"/>
        <w:jc w:val="both"/>
      </w:pPr>
      <w:r>
        <w:rPr>
          <w:rFonts w:ascii="Arial" w:cs="Arial" w:eastAsia="Arial" w:hAnsi="Arial"/>
          <w:sz w:val="24"/>
          <w:szCs w:val="24"/>
        </w:rPr>
        <w:t xml:space="preserve">3) сотрудничество между операторами и юридическими лицами с целью привлечения новых абонентов и развития конкуренции на рынке мобильной сотовой связи (создание виртуальных операторов, реселлеров, межоператорский роуминг);</w:t>
      </w:r>
    </w:p>
    <w:p>
      <w:pPr>
        <w:spacing w:after="60"/>
        <w:ind w:firstLine="567"/>
        <w:jc w:val="both"/>
      </w:pPr>
      <w:r>
        <w:rPr>
          <w:rFonts w:ascii="Arial" w:cs="Arial" w:eastAsia="Arial" w:hAnsi="Arial"/>
          <w:sz w:val="24"/>
          <w:szCs w:val="24"/>
        </w:rPr>
        <w:t xml:space="preserve">4) объединение усилий по противодействию фродовым действиям.</w:t>
      </w:r>
    </w:p>
    <w:p>
      <w:pPr>
        <w:spacing w:after="200" w:before="200"/>
        <w:jc w:val="center"/>
      </w:pPr>
      <w:r>
        <w:rPr>
          <w:rFonts w:ascii="Arial" w:cs="Arial" w:eastAsia="Arial" w:hAnsi="Arial"/>
          <w:b/>
          <w:bCs/>
          <w:sz w:val="24"/>
          <w:szCs w:val="24"/>
        </w:rPr>
        <w:t xml:space="preserve">III. Достижения и проблемы</w:t>
      </w:r>
    </w:p>
    <w:p>
      <w:pPr>
        <w:spacing w:after="60"/>
        <w:ind w:firstLine="567"/>
        <w:jc w:val="both"/>
      </w:pPr>
      <w:r>
        <w:rPr>
          <w:rFonts w:ascii="Arial" w:cs="Arial" w:eastAsia="Arial" w:hAnsi="Arial"/>
          <w:sz w:val="24"/>
          <w:szCs w:val="24"/>
        </w:rPr>
        <w:t xml:space="preserve">Отрасль электрической и почтовой связи занимает в экономике страны особое место. Ее статус определяется существенным влиянием на производительность труда и качество жизни населения. На основе инфраструктуры электрической и почтовой связи успешно реализуются проекты, связанные с общественной и дорожной безопасностью, логистикой, по предоставлению качественных государственных услуг, что в свою очередь позволяет поднять на новый уровень такие зависимые от государства сектора экономики, как медицина и образование.</w:t>
      </w:r>
    </w:p>
    <w:p>
      <w:pPr>
        <w:spacing w:after="60"/>
        <w:ind w:firstLine="567"/>
        <w:jc w:val="both"/>
      </w:pPr>
      <w:r>
        <w:rPr>
          <w:rFonts w:ascii="Arial" w:cs="Arial" w:eastAsia="Arial" w:hAnsi="Arial"/>
          <w:b/>
          <w:bCs/>
          <w:sz w:val="24"/>
          <w:szCs w:val="24"/>
        </w:rPr>
        <w:t xml:space="preserve">Электросвязь.</w:t>
      </w:r>
      <w:r>
        <w:rPr>
          <w:rFonts w:ascii="Arial" w:cs="Arial" w:eastAsia="Arial" w:hAnsi="Arial"/>
          <w:sz w:val="24"/>
          <w:szCs w:val="24"/>
        </w:rPr>
        <w:t xml:space="preserve"> В республике функционирует цифровая телекоммуникационная транспортная сеть связи с использованием современного оборудования. Это позволяет операторам связи предоставлять жителям республики широкий спектр телекоммуникационных услуг. Конкуренция на рынке услуг связи растет, политика операторов связи направлена не только на расширение абонентской базы, но и на сохранение уже существующей.</w:t>
      </w:r>
    </w:p>
    <w:p>
      <w:pPr>
        <w:spacing w:after="60"/>
        <w:ind w:firstLine="567"/>
        <w:jc w:val="both"/>
      </w:pPr>
      <w:r>
        <w:rPr>
          <w:rFonts w:ascii="Arial" w:cs="Arial" w:eastAsia="Arial" w:hAnsi="Arial"/>
          <w:sz w:val="24"/>
          <w:szCs w:val="24"/>
        </w:rPr>
        <w:t xml:space="preserve">Важным достижением телекоммуникационной отрасли КР является высокий процент доступности услуг беспроводного мобильного доступа к сети интернет и низкая его стоимость. Кыргызстан в 2019 году занял второе место по дешевизне мобильного интернета в мире.</w:t>
      </w:r>
    </w:p>
    <w:p>
      <w:pPr>
        <w:spacing w:after="60"/>
        <w:ind w:firstLine="567"/>
        <w:jc w:val="both"/>
      </w:pPr>
      <w:r>
        <w:rPr>
          <w:rFonts w:ascii="Arial" w:cs="Arial" w:eastAsia="Arial" w:hAnsi="Arial"/>
          <w:sz w:val="24"/>
          <w:szCs w:val="24"/>
        </w:rPr>
        <w:t xml:space="preserve">Рынок мобильной сотовой связи в КР складывался поэтапно. Эволюционно одна технология сменяла другую. Развитие сетей мобильной связи начиналось в диапазонах радиочастот 450, 800, 900 МГц и 1800 МГц. Телекоммуникационное оборудование приобреталось у вендоров мирового уровня.</w:t>
      </w:r>
    </w:p>
    <w:p>
      <w:pPr>
        <w:spacing w:after="60"/>
        <w:ind w:firstLine="567"/>
        <w:jc w:val="both"/>
      </w:pPr>
      <w:r>
        <w:rPr>
          <w:rFonts w:ascii="Arial" w:cs="Arial" w:eastAsia="Arial" w:hAnsi="Arial"/>
          <w:sz w:val="24"/>
          <w:szCs w:val="24"/>
        </w:rPr>
        <w:t xml:space="preserve">Регулятором в области связи в 2006 году в соответствии с постановлением Правительства КР от 15 августа 2006 года № 588 был проведен аукцион на право использования радиочастот третьего поколения 3G WCDMA/UMTS. Проведенный аукцион дал старт для внедрения услуг в стандарте 3G.</w:t>
      </w:r>
    </w:p>
    <w:p>
      <w:pPr>
        <w:spacing w:after="60"/>
        <w:ind w:firstLine="567"/>
        <w:jc w:val="both"/>
      </w:pPr>
      <w:r>
        <w:rPr>
          <w:rFonts w:ascii="Arial" w:cs="Arial" w:eastAsia="Arial" w:hAnsi="Arial"/>
          <w:sz w:val="24"/>
          <w:szCs w:val="24"/>
        </w:rPr>
        <w:t xml:space="preserve">На конец I квартала 2022 года покрытие мобильной связью по технологии 2G населенной территории страны составляет 98%.</w:t>
      </w:r>
    </w:p>
    <w:p>
      <w:pPr>
        <w:spacing w:after="60"/>
        <w:ind w:firstLine="567"/>
        <w:jc w:val="both"/>
      </w:pPr>
      <w:r>
        <w:rPr>
          <w:rFonts w:ascii="Arial" w:cs="Arial" w:eastAsia="Arial" w:hAnsi="Arial"/>
          <w:b/>
          <w:bCs/>
          <w:sz w:val="24"/>
          <w:szCs w:val="24"/>
        </w:rPr>
        <w:t xml:space="preserve">Почтовая связь.</w:t>
      </w:r>
      <w:r>
        <w:rPr>
          <w:rFonts w:ascii="Arial" w:cs="Arial" w:eastAsia="Arial" w:hAnsi="Arial"/>
          <w:sz w:val="24"/>
          <w:szCs w:val="24"/>
        </w:rPr>
        <w:t xml:space="preserve"> В настоящее время ОАО "Кыргыз почтасы" находится на завершающей стадии весьма важного для развития акционерного общества проекта Всемирного банка "Развитие финансовых услуг", реализуемый через сеть филиалов ОАО "Кыргыз почтасы", финансируемого Международной ассоциацией развития в соответствии с Соглашением между КР и Международной ассоциацией развития. Данное Соглашение предусматривает модернизацию финансового менеджмента и финансовых услуг, а также модернизацию 400 отделений связи с созданием операционных окон "фронт-офис" и "бэк-офис" в филиалах и отделениях почтовой связи и Центром обработки данных ОАО "Кыргыз почтасы" с общей суммой финансирования проекта 3,75 млн. СПЗ, из них 2,62 млн. СПЗ на кредитной и 1,13 млн. СПЗ на грантовой основе, с последующим погашением указанного кредита. Реализация данного проекта и государственная поддержка со стороны Кабинета Министров КР позволят повысить конкурентоспособность акционерного общества и вывести его из создавшейся сложной финансовой ситуации.</w:t>
      </w:r>
    </w:p>
    <w:p>
      <w:pPr>
        <w:spacing w:after="60"/>
        <w:ind w:firstLine="567"/>
        <w:jc w:val="both"/>
      </w:pPr>
      <w:r>
        <w:rPr>
          <w:rFonts w:ascii="Arial" w:cs="Arial" w:eastAsia="Arial" w:hAnsi="Arial"/>
          <w:sz w:val="24"/>
          <w:szCs w:val="24"/>
        </w:rPr>
        <w:t xml:space="preserve">Текущее состояние отрасли электрической и почтовой связи показывает, что во всех ее сегментах идет развитие, в той или иной степени присутствует конкурентный рынок, но имеются и факторы, препятствующие развитию электрической и почтовой связи, требующие решения для реализации задач построения цифрового общества.</w:t>
      </w:r>
    </w:p>
    <w:p>
      <w:pPr>
        <w:spacing w:after="60"/>
        <w:ind w:firstLine="567"/>
        <w:jc w:val="both"/>
      </w:pPr>
      <w:r>
        <w:rPr>
          <w:rFonts w:ascii="Arial" w:cs="Arial" w:eastAsia="Arial" w:hAnsi="Arial"/>
          <w:sz w:val="24"/>
          <w:szCs w:val="24"/>
        </w:rPr>
        <w:t xml:space="preserve">К ним можно отнести следующее:</w:t>
      </w:r>
    </w:p>
    <w:p>
      <w:pPr>
        <w:spacing w:after="60"/>
        <w:ind w:firstLine="567"/>
        <w:jc w:val="both"/>
      </w:pPr>
      <w:r>
        <w:rPr>
          <w:rFonts w:ascii="Arial" w:cs="Arial" w:eastAsia="Arial" w:hAnsi="Arial"/>
          <w:sz w:val="24"/>
          <w:szCs w:val="24"/>
        </w:rPr>
        <w:t xml:space="preserve">1) устаревшая и не отвечающая современным требованиям нормативная правовая база отрасли;</w:t>
      </w:r>
    </w:p>
    <w:p>
      <w:pPr>
        <w:spacing w:after="60"/>
        <w:ind w:firstLine="567"/>
        <w:jc w:val="both"/>
      </w:pPr>
      <w:r>
        <w:rPr>
          <w:rFonts w:ascii="Arial" w:cs="Arial" w:eastAsia="Arial" w:hAnsi="Arial"/>
          <w:sz w:val="24"/>
          <w:szCs w:val="24"/>
        </w:rPr>
        <w:t xml:space="preserve">2) вероятность снижения международного сотрудничества в отрасли электрической и почтовой связи;</w:t>
      </w:r>
    </w:p>
    <w:p>
      <w:pPr>
        <w:spacing w:after="60"/>
        <w:ind w:firstLine="567"/>
        <w:jc w:val="both"/>
      </w:pPr>
      <w:r>
        <w:rPr>
          <w:rFonts w:ascii="Arial" w:cs="Arial" w:eastAsia="Arial" w:hAnsi="Arial"/>
          <w:sz w:val="24"/>
          <w:szCs w:val="24"/>
        </w:rPr>
        <w:t xml:space="preserve">3) все еще присутствующий "цифровой разрыв" между городами и отдаленными населенными пунктами. Широкополосный доступ не реализован с нужной скоростью по всей территории страны;</w:t>
      </w:r>
    </w:p>
    <w:p>
      <w:pPr>
        <w:spacing w:after="60"/>
        <w:ind w:firstLine="567"/>
        <w:jc w:val="both"/>
      </w:pPr>
      <w:r>
        <w:rPr>
          <w:rFonts w:ascii="Arial" w:cs="Arial" w:eastAsia="Arial" w:hAnsi="Arial"/>
          <w:sz w:val="24"/>
          <w:szCs w:val="24"/>
        </w:rPr>
        <w:t xml:space="preserve">4) низкий уровень конкуренции за пределами больших городов и районов с большой плотностью;</w:t>
      </w:r>
    </w:p>
    <w:p>
      <w:pPr>
        <w:spacing w:after="60"/>
        <w:ind w:firstLine="567"/>
        <w:jc w:val="both"/>
      </w:pPr>
      <w:r>
        <w:rPr>
          <w:rFonts w:ascii="Arial" w:cs="Arial" w:eastAsia="Arial" w:hAnsi="Arial"/>
          <w:sz w:val="24"/>
          <w:szCs w:val="24"/>
        </w:rPr>
        <w:t xml:space="preserve">5) низкий уровень проникновения широкополосного интернета по сравнению со многими странами СНГ;</w:t>
      </w:r>
    </w:p>
    <w:p>
      <w:pPr>
        <w:spacing w:after="60"/>
        <w:ind w:firstLine="567"/>
        <w:jc w:val="both"/>
      </w:pPr>
      <w:r>
        <w:rPr>
          <w:rFonts w:ascii="Arial" w:cs="Arial" w:eastAsia="Arial" w:hAnsi="Arial"/>
          <w:sz w:val="24"/>
          <w:szCs w:val="24"/>
        </w:rPr>
        <w:t xml:space="preserve">6) ограниченные возможности транзита интернет-трафика через территорию страны;</w:t>
      </w:r>
    </w:p>
    <w:p>
      <w:pPr>
        <w:spacing w:after="60"/>
        <w:ind w:firstLine="567"/>
        <w:jc w:val="both"/>
      </w:pPr>
      <w:r>
        <w:rPr>
          <w:rFonts w:ascii="Arial" w:cs="Arial" w:eastAsia="Arial" w:hAnsi="Arial"/>
          <w:sz w:val="24"/>
          <w:szCs w:val="24"/>
        </w:rPr>
        <w:t xml:space="preserve">7) низкий уровень использования существующей инфраструктуры связи из-за отсутствия норм, регламентов, правил и взаимного стремления операторов связи к совместному использованию инфраструктуры (канализация, опоры, антенно-мачтовые сооружения, линии электропередач станций и др.) приводит к росту себестоимости услуг и, соответственно, к росту цен на услуги и снижению их доступности;</w:t>
      </w:r>
    </w:p>
    <w:p>
      <w:pPr>
        <w:spacing w:after="60"/>
        <w:ind w:firstLine="567"/>
        <w:jc w:val="both"/>
      </w:pPr>
      <w:r>
        <w:rPr>
          <w:rFonts w:ascii="Arial" w:cs="Arial" w:eastAsia="Arial" w:hAnsi="Arial"/>
          <w:sz w:val="24"/>
          <w:szCs w:val="24"/>
        </w:rPr>
        <w:t xml:space="preserve">8) отсутствие конкретных разграничений использования радиочастотного спектра между гражданским и военным назначением, в связи с чем требуется проведение конверсии частот;</w:t>
      </w:r>
    </w:p>
    <w:p>
      <w:pPr>
        <w:spacing w:after="60"/>
        <w:ind w:firstLine="567"/>
        <w:jc w:val="both"/>
      </w:pPr>
      <w:r>
        <w:rPr>
          <w:rFonts w:ascii="Arial" w:cs="Arial" w:eastAsia="Arial" w:hAnsi="Arial"/>
          <w:sz w:val="24"/>
          <w:szCs w:val="24"/>
        </w:rPr>
        <w:t xml:space="preserve">9) устаревшие нормы строительства в области связи или даже их отсутствие;</w:t>
      </w:r>
    </w:p>
    <w:p>
      <w:pPr>
        <w:spacing w:after="60"/>
        <w:ind w:firstLine="567"/>
        <w:jc w:val="both"/>
      </w:pPr>
      <w:r>
        <w:rPr>
          <w:rFonts w:ascii="Arial" w:cs="Arial" w:eastAsia="Arial" w:hAnsi="Arial"/>
          <w:sz w:val="24"/>
          <w:szCs w:val="24"/>
        </w:rPr>
        <w:t xml:space="preserve">10) отсутствие институциональной независимости у отраслевого регулятора, что мешает принимать независимые решения, обеспечивающие динамическое развитие рынка;</w:t>
      </w:r>
    </w:p>
    <w:p>
      <w:pPr>
        <w:spacing w:after="60"/>
        <w:ind w:firstLine="567"/>
        <w:jc w:val="both"/>
      </w:pPr>
      <w:r>
        <w:rPr>
          <w:rFonts w:ascii="Arial" w:cs="Arial" w:eastAsia="Arial" w:hAnsi="Arial"/>
          <w:sz w:val="24"/>
          <w:szCs w:val="24"/>
        </w:rPr>
        <w:t xml:space="preserve">11) низкая инвестиционная привлекательность в международном плане отрасли связи, из-за чего всемирно известные, имеющие высокий рейтинг, надежные операторы связи предпочитают не инвестировать в отрасль.</w:t>
      </w:r>
    </w:p>
    <w:p>
      <w:pPr>
        <w:spacing w:after="200" w:before="200"/>
        <w:jc w:val="center"/>
      </w:pPr>
      <w:r>
        <w:rPr>
          <w:rFonts w:ascii="Arial" w:cs="Arial" w:eastAsia="Arial" w:hAnsi="Arial"/>
          <w:b/>
          <w:bCs/>
          <w:sz w:val="24"/>
          <w:szCs w:val="24"/>
        </w:rPr>
        <w:t xml:space="preserve">IV. Цель</w:t>
      </w:r>
    </w:p>
    <w:p>
      <w:pPr>
        <w:spacing w:after="60"/>
        <w:ind w:firstLine="567"/>
        <w:jc w:val="both"/>
      </w:pPr>
      <w:r>
        <w:rPr>
          <w:rFonts w:ascii="Arial" w:cs="Arial" w:eastAsia="Arial" w:hAnsi="Arial"/>
          <w:sz w:val="24"/>
          <w:szCs w:val="24"/>
        </w:rPr>
        <w:t xml:space="preserve">Основной целью реализации Программы является ускоренное и гармоничное развитие отрасли электрической и почтовой связи республики в соответствии с мировыми тенденциями, обеспечивающее своевременное и эффективное внедрение ИКТ для цифровой трансформации кыргызского общества.</w:t>
      </w:r>
    </w:p>
    <w:p>
      <w:pPr>
        <w:spacing w:after="60"/>
        <w:ind w:firstLine="567"/>
        <w:jc w:val="both"/>
      </w:pPr>
      <w:r>
        <w:rPr>
          <w:rFonts w:ascii="Arial" w:cs="Arial" w:eastAsia="Arial" w:hAnsi="Arial"/>
          <w:sz w:val="24"/>
          <w:szCs w:val="24"/>
        </w:rPr>
        <w:t xml:space="preserve">Оптимизация управления, динамичное развитие инфраструктуры и нормативной правовой базы отрасли электрической и почтовой связи будут способствовать внедрению повсеместного широкополосного доступа к сети интернет, через которую будет осуществляться имплементация в КР передовых цифровых информационно-коммуникационных технологий во все сферы человеческой деятельности.</w:t>
      </w:r>
    </w:p>
    <w:p>
      <w:pPr>
        <w:spacing w:after="200" w:before="200"/>
        <w:jc w:val="center"/>
      </w:pPr>
      <w:r>
        <w:rPr>
          <w:rFonts w:ascii="Arial" w:cs="Arial" w:eastAsia="Arial" w:hAnsi="Arial"/>
          <w:b/>
          <w:bCs/>
          <w:sz w:val="24"/>
          <w:szCs w:val="24"/>
        </w:rPr>
        <w:t xml:space="preserve">V. Приоритеты</w:t>
      </w:r>
    </w:p>
    <w:p>
      <w:pPr>
        <w:spacing w:after="60"/>
        <w:ind w:firstLine="567"/>
        <w:jc w:val="both"/>
      </w:pPr>
      <w:r>
        <w:rPr>
          <w:rFonts w:ascii="Arial" w:cs="Arial" w:eastAsia="Arial" w:hAnsi="Arial"/>
          <w:sz w:val="24"/>
          <w:szCs w:val="24"/>
        </w:rPr>
        <w:t xml:space="preserve">Для достижения стратегической цели устанавливаются следующие приоритеты:</w:t>
      </w:r>
    </w:p>
    <w:p>
      <w:pPr>
        <w:spacing w:after="60"/>
        <w:ind w:firstLine="567"/>
        <w:jc w:val="both"/>
      </w:pPr>
      <w:r>
        <w:rPr>
          <w:rFonts w:ascii="Arial" w:cs="Arial" w:eastAsia="Arial" w:hAnsi="Arial"/>
          <w:sz w:val="24"/>
          <w:szCs w:val="24"/>
        </w:rPr>
        <w:t xml:space="preserve">1) совершенствование нормативной правовой базы отрасли, обеспечивающей эффективное и прозрачное регулирование конкурентного рынка, предоставление участникам рынка благоприятных условий для развития и внедрения разнообразных современных услуг электрической и почтовой связи при одновременной защите интересов потребителей этих услуг;</w:t>
      </w:r>
    </w:p>
    <w:p>
      <w:pPr>
        <w:spacing w:after="60"/>
        <w:ind w:firstLine="567"/>
        <w:jc w:val="both"/>
      </w:pPr>
      <w:r>
        <w:rPr>
          <w:rFonts w:ascii="Arial" w:cs="Arial" w:eastAsia="Arial" w:hAnsi="Arial"/>
          <w:sz w:val="24"/>
          <w:szCs w:val="24"/>
        </w:rPr>
        <w:t xml:space="preserve">2) непрерывное развитие и модернизация инфраструктуры электрической и почтовой связи на основе постоянного внедрения новых технологий и услуг связи, обеспечения широкополосного доступа к услугам электрической и почтовой связи на всей территории республики. Обеспечение более тесной интеграции национальной телекоммуникационной инфраструктуры в региональные и международные сети. Повышение инвестиционной привлекательности отрасли электрической и почтовой связи.</w:t>
      </w:r>
    </w:p>
    <w:p>
      <w:pPr>
        <w:spacing w:after="60" w:before="200"/>
        <w:ind w:firstLine="567"/>
        <w:jc w:val="both"/>
      </w:pPr>
      <w:r>
        <w:rPr>
          <w:rFonts w:ascii="Arial" w:cs="Arial" w:eastAsia="Arial" w:hAnsi="Arial"/>
          <w:b/>
          <w:bCs/>
          <w:sz w:val="24"/>
          <w:szCs w:val="24"/>
        </w:rPr>
        <w:t xml:space="preserve">Задачи и меры/действия по каждому из приоритетов</w:t>
      </w:r>
    </w:p>
    <w:p>
      <w:pPr>
        <w:spacing w:after="60"/>
        <w:ind w:firstLine="567"/>
        <w:jc w:val="both"/>
      </w:pPr>
      <w:r>
        <w:rPr>
          <w:rFonts w:ascii="Arial" w:cs="Arial" w:eastAsia="Arial" w:hAnsi="Arial"/>
          <w:sz w:val="24"/>
          <w:szCs w:val="24"/>
        </w:rPr>
        <w:t xml:space="preserve">По первому приоритетному направлению необходимо решить следующие задачи:</w:t>
      </w:r>
    </w:p>
    <w:p>
      <w:pPr>
        <w:spacing w:after="60"/>
        <w:ind w:firstLine="567"/>
        <w:jc w:val="both"/>
      </w:pPr>
      <w:r>
        <w:rPr>
          <w:rFonts w:ascii="Arial" w:cs="Arial" w:eastAsia="Arial" w:hAnsi="Arial"/>
          <w:sz w:val="24"/>
          <w:szCs w:val="24"/>
        </w:rPr>
        <w:t xml:space="preserve">1) модернизировать и актуализировать нормативную правовую базу отрасли, в первую очередь, совершенствовать основной отраслевой закон и подзаконные акты, а также разрешить существующие на сегодняшний день проблемы правового характера.</w:t>
      </w:r>
    </w:p>
    <w:p>
      <w:pPr>
        <w:spacing w:after="60"/>
        <w:ind w:firstLine="567"/>
        <w:jc w:val="both"/>
      </w:pPr>
      <w:r>
        <w:rPr>
          <w:rFonts w:ascii="Arial" w:cs="Arial" w:eastAsia="Arial" w:hAnsi="Arial"/>
          <w:sz w:val="24"/>
          <w:szCs w:val="24"/>
        </w:rPr>
        <w:t xml:space="preserve">В этой связи необходимо провести инвентаризацию норм </w:t>
      </w:r>
      <w:hyperlink w:history="1" r:id="rIdz_iyaqoqawfqotsmalhf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электрической и почтовой связи" с целью исключения из него статьей, которые не содержат в себе правовой ценности для общества, и дублирующих норм с </w:t>
      </w:r>
      <w:hyperlink w:history="1" r:id="rIdltkb5glamk3roourmppg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почтовой связи". </w:t>
      </w:r>
      <w:hyperlink w:history="1" r:id="rIdfwy2pf_blg6phjjdi2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электрической и почтовой связи" подлежит оптимизации таким образом, чтобы он мог урегулировать ключевые проблемы деятельности операторов электросвязи на основе лучших мировых практик. Нужны нормы, направленные на регулирование вопросов по совместному использованию операторами связи инфраструктуры и радиочастотного ресурса.</w:t>
      </w:r>
    </w:p>
    <w:p>
      <w:pPr>
        <w:spacing w:after="60"/>
        <w:ind w:firstLine="567"/>
        <w:jc w:val="both"/>
      </w:pPr>
      <w:r>
        <w:rPr>
          <w:rFonts w:ascii="Arial" w:cs="Arial" w:eastAsia="Arial" w:hAnsi="Arial"/>
          <w:sz w:val="24"/>
          <w:szCs w:val="24"/>
        </w:rPr>
        <w:t xml:space="preserve">Подлежит изменению и смежное законодательство, регулирующее вопросы строительства жилых домов, строительства объектов топливно-энергетического комплекса, вопросы аренды линий электропередач и земельных участков.</w:t>
      </w:r>
    </w:p>
    <w:p>
      <w:pPr>
        <w:spacing w:after="60"/>
        <w:ind w:firstLine="567"/>
        <w:jc w:val="both"/>
      </w:pPr>
      <w:r>
        <w:rPr>
          <w:rFonts w:ascii="Arial" w:cs="Arial" w:eastAsia="Arial" w:hAnsi="Arial"/>
          <w:sz w:val="24"/>
          <w:szCs w:val="24"/>
        </w:rPr>
        <w:t xml:space="preserve">Также требуется установление правовых основ по защите сетей связи и/или услуг электросвязи от несанкционированного доступа к сетям и/или услугам электросвязи.</w:t>
      </w:r>
    </w:p>
    <w:p>
      <w:pPr>
        <w:spacing w:after="60"/>
        <w:ind w:firstLine="567"/>
        <w:jc w:val="both"/>
      </w:pPr>
      <w:r>
        <w:rPr>
          <w:rFonts w:ascii="Arial" w:cs="Arial" w:eastAsia="Arial" w:hAnsi="Arial"/>
          <w:sz w:val="24"/>
          <w:szCs w:val="24"/>
        </w:rPr>
        <w:t xml:space="preserve">В целях создания и обеспечения благоприятных налоговых условий для субъектов предпринимательства, предоставляющих услуги электрической связи, необходимо внесение изменений в налоговое законодательство КР.</w:t>
      </w:r>
    </w:p>
    <w:p>
      <w:pPr>
        <w:spacing w:after="60"/>
        <w:ind w:firstLine="567"/>
        <w:jc w:val="both"/>
      </w:pPr>
      <w:r>
        <w:rPr>
          <w:rFonts w:ascii="Arial" w:cs="Arial" w:eastAsia="Arial" w:hAnsi="Arial"/>
          <w:sz w:val="24"/>
          <w:szCs w:val="24"/>
        </w:rPr>
        <w:t xml:space="preserve">Необходимо пересмотреть нормы национального законодательства с целью их приведения в соответствие с принятыми КР нормами международных договоров;</w:t>
      </w:r>
    </w:p>
    <w:p>
      <w:pPr>
        <w:spacing w:after="60"/>
        <w:ind w:firstLine="567"/>
        <w:jc w:val="both"/>
      </w:pPr>
      <w:r>
        <w:rPr>
          <w:rFonts w:ascii="Arial" w:cs="Arial" w:eastAsia="Arial" w:hAnsi="Arial"/>
          <w:sz w:val="24"/>
          <w:szCs w:val="24"/>
        </w:rPr>
        <w:t xml:space="preserve">2) сохранить и развить международное сотрудничество.</w:t>
      </w:r>
    </w:p>
    <w:p>
      <w:pPr>
        <w:spacing w:after="60"/>
        <w:ind w:firstLine="567"/>
        <w:jc w:val="both"/>
      </w:pPr>
      <w:r>
        <w:rPr>
          <w:rFonts w:ascii="Arial" w:cs="Arial" w:eastAsia="Arial" w:hAnsi="Arial"/>
          <w:sz w:val="24"/>
          <w:szCs w:val="24"/>
        </w:rPr>
        <w:t xml:space="preserve">По второму приоритетному направлению необходимо решение следующих задач:</w:t>
      </w:r>
    </w:p>
    <w:p>
      <w:pPr>
        <w:spacing w:after="60"/>
        <w:ind w:firstLine="567"/>
        <w:jc w:val="both"/>
      </w:pPr>
      <w:r>
        <w:rPr>
          <w:rFonts w:ascii="Arial" w:cs="Arial" w:eastAsia="Arial" w:hAnsi="Arial"/>
          <w:sz w:val="24"/>
          <w:szCs w:val="24"/>
        </w:rPr>
        <w:t xml:space="preserve">1) сократить существующий "цифровой разрыв" между городами и отдаленными населенными пунктами путем создания условий для продвижения услуг широкополосного доступа;</w:t>
      </w:r>
    </w:p>
    <w:p>
      <w:pPr>
        <w:spacing w:after="60"/>
        <w:ind w:firstLine="567"/>
        <w:jc w:val="both"/>
      </w:pPr>
      <w:r>
        <w:rPr>
          <w:rFonts w:ascii="Arial" w:cs="Arial" w:eastAsia="Arial" w:hAnsi="Arial"/>
          <w:sz w:val="24"/>
          <w:szCs w:val="24"/>
        </w:rPr>
        <w:t xml:space="preserve">2) решить вопрос с использованием инфраструктуры других отраслей экономики для расширения сети операторов электросвязи. Здесь необходима эффективная взаимосвязанная деятельность администрации связи, регулятора рынка и операторов электросвязи по взаимодействию с администрациями и участниками других отраслей экономики. Необходимо рассмотрение вопроса совместного использования операторами электросвязи инфраструктуры и радиочастотного ресурса;</w:t>
      </w:r>
    </w:p>
    <w:p>
      <w:pPr>
        <w:spacing w:after="60"/>
        <w:ind w:firstLine="567"/>
        <w:jc w:val="both"/>
      </w:pPr>
      <w:r>
        <w:rPr>
          <w:rFonts w:ascii="Arial" w:cs="Arial" w:eastAsia="Arial" w:hAnsi="Arial"/>
          <w:sz w:val="24"/>
          <w:szCs w:val="24"/>
        </w:rPr>
        <w:t xml:space="preserve">3) решить вопросы конверсии радиочастотного спектра;</w:t>
      </w:r>
    </w:p>
    <w:p>
      <w:pPr>
        <w:spacing w:after="60"/>
        <w:ind w:firstLine="567"/>
        <w:jc w:val="both"/>
      </w:pPr>
      <w:r>
        <w:rPr>
          <w:rFonts w:ascii="Arial" w:cs="Arial" w:eastAsia="Arial" w:hAnsi="Arial"/>
          <w:sz w:val="24"/>
          <w:szCs w:val="24"/>
        </w:rPr>
        <w:t xml:space="preserve">4) в рамках смежного секторального законодательства и стимулирования развития сектора в целом необходимо:</w:t>
      </w:r>
    </w:p>
    <w:p>
      <w:pPr>
        <w:spacing w:after="60"/>
        <w:ind w:firstLine="567"/>
        <w:jc w:val="both"/>
      </w:pPr>
      <w:r>
        <w:rPr>
          <w:rFonts w:ascii="Arial" w:cs="Arial" w:eastAsia="Arial" w:hAnsi="Arial"/>
          <w:sz w:val="24"/>
          <w:szCs w:val="24"/>
        </w:rPr>
        <w:t xml:space="preserve">1) в законодательстве о регистрации права собственности, в соответствии с признаками линейно-кабельных сооружений связи классифицировать их принадлежность к той или иной категории объектов движимого или недвижимого имущества и закрепить права регистрации таких объектов, как право собственности и других вещных прав в соответствующих реестрах недвижимости;</w:t>
      </w:r>
    </w:p>
    <w:p>
      <w:pPr>
        <w:spacing w:after="60"/>
        <w:ind w:firstLine="567"/>
        <w:jc w:val="both"/>
      </w:pPr>
      <w:r>
        <w:rPr>
          <w:rFonts w:ascii="Arial" w:cs="Arial" w:eastAsia="Arial" w:hAnsi="Arial"/>
          <w:sz w:val="24"/>
          <w:szCs w:val="24"/>
        </w:rPr>
        <w:t xml:space="preserve">2) предложить дальнейшую либерализацию рынка банковских и финансовых услуг, позволяющих беспрепятственно обеспечивать межсекторальную интеграцию участников рынка для дальнейшего развития цифровых инновационных финансовых услуг. Данная мера, за счет разветвленной сети оператора связи, позволит расширить территорию использования безналичных платежей;</w:t>
      </w:r>
    </w:p>
    <w:p>
      <w:pPr>
        <w:spacing w:after="60"/>
        <w:ind w:firstLine="567"/>
        <w:jc w:val="both"/>
      </w:pPr>
      <w:r>
        <w:rPr>
          <w:rFonts w:ascii="Arial" w:cs="Arial" w:eastAsia="Arial" w:hAnsi="Arial"/>
          <w:sz w:val="24"/>
          <w:szCs w:val="24"/>
        </w:rPr>
        <w:t xml:space="preserve">3) пересмотреть формат обучения подготовки специалистов в сфере ИКТ. В этой связи предлагается:</w:t>
      </w:r>
    </w:p>
    <w:p>
      <w:pPr>
        <w:spacing w:after="60"/>
        <w:ind w:firstLine="567"/>
        <w:jc w:val="both"/>
      </w:pPr>
      <w:r>
        <w:rPr>
          <w:rFonts w:ascii="Arial" w:cs="Arial" w:eastAsia="Arial" w:hAnsi="Arial"/>
          <w:sz w:val="24"/>
          <w:szCs w:val="24"/>
        </w:rPr>
        <w:t xml:space="preserve">1) МЦР наделить полномочиями:</w:t>
      </w:r>
    </w:p>
    <w:p>
      <w:pPr>
        <w:spacing w:after="60"/>
        <w:ind w:firstLine="567"/>
        <w:jc w:val="both"/>
      </w:pPr>
      <w:r>
        <w:rPr>
          <w:rFonts w:ascii="Arial" w:cs="Arial" w:eastAsia="Arial" w:hAnsi="Arial"/>
          <w:sz w:val="24"/>
          <w:szCs w:val="24"/>
        </w:rPr>
        <w:t xml:space="preserve">- вносить изменения в нормативную правовую базу подготовки кадров в сфере ИКТ, включая изменения в государственный образовательный стандарт в области подготовки специалистов ИКТ;</w:t>
      </w:r>
    </w:p>
    <w:p>
      <w:pPr>
        <w:spacing w:after="60"/>
        <w:ind w:firstLine="567"/>
        <w:jc w:val="both"/>
      </w:pPr>
      <w:r>
        <w:rPr>
          <w:rFonts w:ascii="Arial" w:cs="Arial" w:eastAsia="Arial" w:hAnsi="Arial"/>
          <w:sz w:val="24"/>
          <w:szCs w:val="24"/>
        </w:rPr>
        <w:t xml:space="preserve">- наделить возможностью влиять на подготовку кадров (включая связь). Для этого целесообразно взять патронаж над одним из частных вузов в области связи и ИКТ (как правило, частные вузы более мобильны и лучше привлекают и используют различные внешние инвестиции, без которых сложно создать современный вуз), придав ему статус отраслевого института, и оперативно отрабатывать современные методологии обучения по дисциплинам, соответствующим современным технологиям. Полученный положительный опыт можно рекомендовать МОН для внедрения в других вузах, готовящих кадров в сфере ИКТ;</w:t>
      </w:r>
    </w:p>
    <w:p>
      <w:pPr>
        <w:spacing w:after="60"/>
        <w:ind w:firstLine="567"/>
        <w:jc w:val="both"/>
      </w:pPr>
      <w:r>
        <w:rPr>
          <w:rFonts w:ascii="Arial" w:cs="Arial" w:eastAsia="Arial" w:hAnsi="Arial"/>
          <w:sz w:val="24"/>
          <w:szCs w:val="24"/>
        </w:rPr>
        <w:t xml:space="preserve">2) систематизировать и планировать подготовку специалистов ИКТ в зависимости от реальной потребности;</w:t>
      </w:r>
    </w:p>
    <w:p>
      <w:pPr>
        <w:spacing w:after="60"/>
        <w:ind w:firstLine="567"/>
        <w:jc w:val="both"/>
      </w:pPr>
      <w:r>
        <w:rPr>
          <w:rFonts w:ascii="Arial" w:cs="Arial" w:eastAsia="Arial" w:hAnsi="Arial"/>
          <w:sz w:val="24"/>
          <w:szCs w:val="24"/>
        </w:rPr>
        <w:t xml:space="preserve">3) при аккредитации образовательных учреждений вносить требования об обязательности наличия современных лабораторно-программных комплексов. Так, предложить в МОН внести в лицензии для подготовки кадров по связи требования об обязательности наличия учебных лабораторно-программных комплексов по всем специальным дисциплинам. Без соответствия такому требованию лицензии не должны выдаваться, а выданные лицензии аннулироваться;</w:t>
      </w:r>
    </w:p>
    <w:p>
      <w:pPr>
        <w:spacing w:after="60"/>
        <w:ind w:firstLine="567"/>
        <w:jc w:val="both"/>
      </w:pPr>
      <w:r>
        <w:rPr>
          <w:rFonts w:ascii="Arial" w:cs="Arial" w:eastAsia="Arial" w:hAnsi="Arial"/>
          <w:sz w:val="24"/>
          <w:szCs w:val="24"/>
        </w:rPr>
        <w:t xml:space="preserve">4) создать прочные связи между образовательными учреждениями и производствами (работодателями) для создания актуальных учебных программ и мест проведения производственных учебных занятий и практик.</w:t>
      </w:r>
    </w:p>
    <w:p>
      <w:pPr>
        <w:spacing w:after="200" w:before="200"/>
        <w:jc w:val="center"/>
      </w:pPr>
      <w:r>
        <w:rPr>
          <w:rFonts w:ascii="Arial" w:cs="Arial" w:eastAsia="Arial" w:hAnsi="Arial"/>
          <w:b/>
          <w:bCs/>
          <w:sz w:val="24"/>
          <w:szCs w:val="24"/>
        </w:rPr>
        <w:t xml:space="preserve">VI. Финансирование</w:t>
      </w:r>
    </w:p>
    <w:p>
      <w:pPr>
        <w:spacing w:after="60"/>
        <w:ind w:firstLine="567"/>
        <w:jc w:val="both"/>
      </w:pPr>
      <w:r>
        <w:rPr>
          <w:rFonts w:ascii="Arial" w:cs="Arial" w:eastAsia="Arial" w:hAnsi="Arial"/>
          <w:sz w:val="24"/>
          <w:szCs w:val="24"/>
        </w:rPr>
        <w:t xml:space="preserve">Основным вопросом/проблемой для реализации Программы предполагается значительный объем финансирования на весь период внедрения с 2022-2027 годы.</w:t>
      </w:r>
    </w:p>
    <w:p>
      <w:pPr>
        <w:spacing w:after="60"/>
        <w:ind w:firstLine="567"/>
        <w:jc w:val="both"/>
      </w:pPr>
      <w:r>
        <w:rPr>
          <w:rFonts w:ascii="Arial" w:cs="Arial" w:eastAsia="Arial" w:hAnsi="Arial"/>
          <w:sz w:val="24"/>
          <w:szCs w:val="24"/>
        </w:rPr>
        <w:t xml:space="preserve">Основным вектором Программы должно стать преимущественное внутреннее инвестирование за счет снижения налогообложения. Предполагается, что в процессе реализации конкретных проектов и программ по реализации Программы будут привлечены внутренние государственные средства и средства операторов электрической и почтовой связи, а также возможно внешние средства (гранты, льготные кредиты разных финансовых институтов).</w:t>
      </w:r>
    </w:p>
    <w:p>
      <w:pPr>
        <w:spacing w:after="60"/>
        <w:ind w:firstLine="567"/>
        <w:jc w:val="both"/>
      </w:pPr>
      <w:r>
        <w:rPr>
          <w:rFonts w:ascii="Arial" w:cs="Arial" w:eastAsia="Arial" w:hAnsi="Arial"/>
          <w:sz w:val="24"/>
          <w:szCs w:val="24"/>
        </w:rPr>
        <w:t xml:space="preserve">Также необходимо обязательное участие государства в финансировании данной программы, так как на сегодняшний день существует большой разрыв в инфраструктуре между городом и сельской местностью, в сельской местности услуги связи нерентабельны, бизнес практически туда не идет, поэтому необходимо иметь стимулирующие механизмы.</w:t>
      </w:r>
    </w:p>
    <w:p>
      <w:pPr>
        <w:spacing w:after="200" w:before="200"/>
        <w:jc w:val="center"/>
      </w:pPr>
      <w:r>
        <w:rPr>
          <w:rFonts w:ascii="Arial" w:cs="Arial" w:eastAsia="Arial" w:hAnsi="Arial"/>
          <w:b/>
          <w:bCs/>
          <w:sz w:val="24"/>
          <w:szCs w:val="24"/>
        </w:rPr>
        <w:t xml:space="preserve">VII. Ожидаемые результаты</w:t>
      </w:r>
    </w:p>
    <w:p>
      <w:pPr>
        <w:spacing w:after="60"/>
        <w:ind w:firstLine="567"/>
        <w:jc w:val="both"/>
      </w:pPr>
      <w:r>
        <w:rPr>
          <w:rFonts w:ascii="Arial" w:cs="Arial" w:eastAsia="Arial" w:hAnsi="Arial"/>
          <w:sz w:val="24"/>
          <w:szCs w:val="24"/>
        </w:rPr>
        <w:t xml:space="preserve">Реализация данной Программы будет способствовать достижению следующих измеримых результатов:</w:t>
      </w:r>
    </w:p>
    <w:p>
      <w:pPr>
        <w:spacing w:after="60"/>
        <w:ind w:firstLine="567"/>
        <w:jc w:val="both"/>
      </w:pPr>
      <w:r>
        <w:rPr>
          <w:rFonts w:ascii="Arial" w:cs="Arial" w:eastAsia="Arial" w:hAnsi="Arial"/>
          <w:sz w:val="24"/>
          <w:szCs w:val="24"/>
        </w:rPr>
        <w:t xml:space="preserve">- все населенные пункты страны будут иметь как минимум один широкополосный пункт доступа к интернету со скоростью минимум 30-50 Мбит/с;</w:t>
      </w:r>
    </w:p>
    <w:p>
      <w:pPr>
        <w:spacing w:after="60"/>
        <w:ind w:firstLine="567"/>
        <w:jc w:val="both"/>
      </w:pPr>
      <w:r>
        <w:rPr>
          <w:rFonts w:ascii="Arial" w:cs="Arial" w:eastAsia="Arial" w:hAnsi="Arial"/>
          <w:sz w:val="24"/>
          <w:szCs w:val="24"/>
        </w:rPr>
        <w:t xml:space="preserve">- как минимум 70-85% хозяйств будут подключены к широкополосному доступу интернет со скоростью не ниже 30-50 Мбит/с;</w:t>
      </w:r>
    </w:p>
    <w:p>
      <w:pPr>
        <w:spacing w:after="60"/>
        <w:ind w:firstLine="567"/>
        <w:jc w:val="both"/>
      </w:pPr>
      <w:r>
        <w:rPr>
          <w:rFonts w:ascii="Arial" w:cs="Arial" w:eastAsia="Arial" w:hAnsi="Arial"/>
          <w:sz w:val="24"/>
          <w:szCs w:val="24"/>
        </w:rPr>
        <w:t xml:space="preserve">- инфраструктура к 2026 году, как минимум, позволит 95% гражданам республики использовать широкополосный интернет со скоростью не ниже чем 20-30 Мбит/с по приемлемым ценам, ориентированным на среднюю заработную плату;</w:t>
      </w:r>
    </w:p>
    <w:p>
      <w:pPr>
        <w:spacing w:after="60"/>
        <w:ind w:firstLine="567"/>
        <w:jc w:val="both"/>
      </w:pPr>
      <w:r>
        <w:rPr>
          <w:rFonts w:ascii="Arial" w:cs="Arial" w:eastAsia="Arial" w:hAnsi="Arial"/>
          <w:sz w:val="24"/>
          <w:szCs w:val="24"/>
        </w:rPr>
        <w:t xml:space="preserve">- инфраструктура обеспечит 100% возможность оказания государственных услуг, переведенных в электронный формат;</w:t>
      </w:r>
    </w:p>
    <w:p>
      <w:pPr>
        <w:spacing w:after="60"/>
        <w:ind w:firstLine="567"/>
        <w:jc w:val="both"/>
      </w:pPr>
      <w:r>
        <w:rPr>
          <w:rFonts w:ascii="Arial" w:cs="Arial" w:eastAsia="Arial" w:hAnsi="Arial"/>
          <w:sz w:val="24"/>
          <w:szCs w:val="24"/>
        </w:rPr>
        <w:t xml:space="preserve">- качеством оказываемых услуг должны быть удовлетворены, как минимум, 80% пользователей;</w:t>
      </w:r>
    </w:p>
    <w:p>
      <w:pPr>
        <w:spacing w:after="60"/>
        <w:ind w:firstLine="567"/>
        <w:jc w:val="both"/>
      </w:pPr>
      <w:r>
        <w:rPr>
          <w:rFonts w:ascii="Arial" w:cs="Arial" w:eastAsia="Arial" w:hAnsi="Arial"/>
          <w:sz w:val="24"/>
          <w:szCs w:val="24"/>
        </w:rPr>
        <w:t xml:space="preserve">- результаты, ожидаемые вследствие реализации данной Программы, будут оценены в соответствии с основными показателями прогресса в реализации поставленных задач;</w:t>
      </w:r>
    </w:p>
    <w:p>
      <w:pPr>
        <w:spacing w:after="60"/>
        <w:ind w:firstLine="567"/>
        <w:jc w:val="both"/>
      </w:pPr>
      <w:r>
        <w:rPr>
          <w:rFonts w:ascii="Arial" w:cs="Arial" w:eastAsia="Arial" w:hAnsi="Arial"/>
          <w:sz w:val="24"/>
          <w:szCs w:val="24"/>
        </w:rPr>
        <w:t xml:space="preserve">- будет продвижение показателей КР в международных рейтингах в области ИКТ;</w:t>
      </w:r>
    </w:p>
    <w:p>
      <w:pPr>
        <w:spacing w:after="60"/>
        <w:ind w:firstLine="567"/>
        <w:jc w:val="both"/>
      </w:pPr>
      <w:r>
        <w:rPr>
          <w:rFonts w:ascii="Arial" w:cs="Arial" w:eastAsia="Arial" w:hAnsi="Arial"/>
          <w:sz w:val="24"/>
          <w:szCs w:val="24"/>
        </w:rPr>
        <w:t xml:space="preserve">- уровень безопасности инфраструктуры должен соответствовать международным рекомендациям.</w:t>
      </w:r>
    </w:p>
    <w:p>
      <w:pPr>
        <w:spacing w:after="60"/>
        <w:ind w:firstLine="567"/>
        <w:jc w:val="both"/>
      </w:pPr>
      <w:r>
        <w:rPr>
          <w:rFonts w:ascii="Arial" w:cs="Arial" w:eastAsia="Arial" w:hAnsi="Arial"/>
          <w:sz w:val="24"/>
          <w:szCs w:val="24"/>
        </w:rPr>
        <w:t xml:space="preserve">Для успешной реализации Программы требуется проводить мониторинг на периодической основе. Результаты мониторинга должны стать процессом оценки складывающейся ситуации по отношению к намеченным целям и выявлению факторов, которые препятствуют их достижениям. Мониторинг будет способствовать оптимизации процесса внедрения и, соответственно, усовершенствованию способа предоставления продуктов, генерирования результатов и достижения ожидаемого результата. В целях проведения мониторинга следует определить индикаторы реализации Программы.</w:t>
      </w:r>
    </w:p>
    <w:p>
      <w:pPr>
        <w:spacing w:after="200" w:before="200"/>
        <w:jc w:val="center"/>
      </w:pPr>
      <w:r>
        <w:rPr>
          <w:rFonts w:ascii="Arial" w:cs="Arial" w:eastAsia="Arial" w:hAnsi="Arial"/>
          <w:b/>
          <w:bCs/>
          <w:sz w:val="24"/>
          <w:szCs w:val="24"/>
        </w:rPr>
        <w:t xml:space="preserve">VIII. Благоприятные предпосылки и риски</w:t>
      </w:r>
    </w:p>
    <w:p>
      <w:pPr>
        <w:spacing w:after="60"/>
        <w:ind w:firstLine="567"/>
        <w:jc w:val="both"/>
      </w:pPr>
      <w:r>
        <w:rPr>
          <w:rFonts w:ascii="Arial" w:cs="Arial" w:eastAsia="Arial" w:hAnsi="Arial"/>
          <w:sz w:val="24"/>
          <w:szCs w:val="24"/>
        </w:rPr>
        <w:t xml:space="preserve">Важными благоприятными предпосылками для реализации Программы развития отрасли электрической и почтовой связи КР являются следующие:</w:t>
      </w:r>
    </w:p>
    <w:p>
      <w:pPr>
        <w:spacing w:after="60"/>
        <w:ind w:firstLine="567"/>
        <w:jc w:val="both"/>
      </w:pPr>
      <w:r>
        <w:rPr>
          <w:rFonts w:ascii="Arial" w:cs="Arial" w:eastAsia="Arial" w:hAnsi="Arial"/>
          <w:sz w:val="24"/>
          <w:szCs w:val="24"/>
        </w:rPr>
        <w:t xml:space="preserve">1) принятие ряда программ и нормативных правовых актов для обеспечения надлежащего государственного управления и вопросов, относящихся к политической стабильности, а также устойчивого экономического роста;</w:t>
      </w:r>
    </w:p>
    <w:p>
      <w:pPr>
        <w:spacing w:after="60"/>
        <w:ind w:firstLine="567"/>
        <w:jc w:val="both"/>
      </w:pPr>
      <w:r>
        <w:rPr>
          <w:rFonts w:ascii="Arial" w:cs="Arial" w:eastAsia="Arial" w:hAnsi="Arial"/>
          <w:sz w:val="24"/>
          <w:szCs w:val="24"/>
        </w:rPr>
        <w:t xml:space="preserve">2) благоприятная деловая среда, которая является ключевым фактором для развития существующих и будущих компаний и привлечения прямых иностранных инвестиций;</w:t>
      </w:r>
    </w:p>
    <w:p>
      <w:pPr>
        <w:spacing w:after="60"/>
        <w:ind w:firstLine="567"/>
        <w:jc w:val="both"/>
      </w:pPr>
      <w:r>
        <w:rPr>
          <w:rFonts w:ascii="Arial" w:cs="Arial" w:eastAsia="Arial" w:hAnsi="Arial"/>
          <w:sz w:val="24"/>
          <w:szCs w:val="24"/>
        </w:rPr>
        <w:t xml:space="preserve">3) стабильное и успешное развитие малого и среднего бизнеса, обеспечение защиты предпринимателей от административного давления, установление партнерских взаимоотношений власти и бизнес-ассоциаций, ведение совместной работы по улучшению бизнес-среды, создание условий для расширения деятельности предпринимателей в различных отраслях экономики, пополнение государственной казны и решение социальных вопросов;</w:t>
      </w:r>
    </w:p>
    <w:p>
      <w:pPr>
        <w:spacing w:after="60"/>
        <w:ind w:firstLine="567"/>
        <w:jc w:val="both"/>
      </w:pPr>
      <w:r>
        <w:rPr>
          <w:rFonts w:ascii="Arial" w:cs="Arial" w:eastAsia="Arial" w:hAnsi="Arial"/>
          <w:sz w:val="24"/>
          <w:szCs w:val="24"/>
        </w:rPr>
        <w:t xml:space="preserve">4) надлежащее государственное управление, проводимая борьба с коррупцией и эффективные институты, которые будут способствовать развитию предпринимательства, малого и среднего бизнеса;</w:t>
      </w:r>
    </w:p>
    <w:p>
      <w:pPr>
        <w:spacing w:after="60"/>
        <w:ind w:firstLine="567"/>
        <w:jc w:val="both"/>
      </w:pPr>
      <w:r>
        <w:rPr>
          <w:rFonts w:ascii="Arial" w:cs="Arial" w:eastAsia="Arial" w:hAnsi="Arial"/>
          <w:sz w:val="24"/>
          <w:szCs w:val="24"/>
        </w:rPr>
        <w:t xml:space="preserve">5) мобильный телекоммуникационный рынок, который является самым динамично растущим сегментом рынка в Кыргызстане, с постоянно растущим количеством интернет-пользователей;</w:t>
      </w:r>
    </w:p>
    <w:p>
      <w:pPr>
        <w:spacing w:after="60"/>
        <w:ind w:firstLine="567"/>
        <w:jc w:val="both"/>
      </w:pPr>
      <w:r>
        <w:rPr>
          <w:rFonts w:ascii="Arial" w:cs="Arial" w:eastAsia="Arial" w:hAnsi="Arial"/>
          <w:sz w:val="24"/>
          <w:szCs w:val="24"/>
        </w:rPr>
        <w:t xml:space="preserve">6) неуклонно растущее количество лицензиатов, оказывающих услуги в области электрической и почтовой связи. Внедрение современных технологий и стандартов в сфере телекоммуникации, позволяющих предоставлять населению широкий спектр услуг;</w:t>
      </w:r>
    </w:p>
    <w:p>
      <w:pPr>
        <w:spacing w:after="60"/>
        <w:ind w:firstLine="567"/>
        <w:jc w:val="both"/>
      </w:pPr>
      <w:r>
        <w:rPr>
          <w:rFonts w:ascii="Arial" w:cs="Arial" w:eastAsia="Arial" w:hAnsi="Arial"/>
          <w:sz w:val="24"/>
          <w:szCs w:val="24"/>
        </w:rPr>
        <w:t xml:space="preserve">7) оптимизация системы надзора и контроля за деятельностью операторов связи, соответствие продукции и услуг требованиям и стандартам качества, обеспечивающим безопасность и защиту здоровья граждан, защиту ограниченных государственных ресурсов, в том числе радиочастотного спектра.</w:t>
      </w:r>
    </w:p>
    <w:p>
      <w:pPr>
        <w:spacing w:after="60"/>
        <w:ind w:firstLine="567"/>
        <w:jc w:val="both"/>
      </w:pPr>
      <w:r>
        <w:rPr>
          <w:rFonts w:ascii="Arial" w:cs="Arial" w:eastAsia="Arial" w:hAnsi="Arial"/>
          <w:sz w:val="24"/>
          <w:szCs w:val="24"/>
        </w:rPr>
        <w:t xml:space="preserve">На реализацию Программы, как и на любую деятельность, могут повлиять различные риски и проблемы.</w:t>
      </w:r>
    </w:p>
    <w:p>
      <w:pPr>
        <w:spacing w:after="60"/>
        <w:ind w:firstLine="567"/>
        <w:jc w:val="both"/>
      </w:pPr>
      <w:r>
        <w:rPr>
          <w:rFonts w:ascii="Arial" w:cs="Arial" w:eastAsia="Arial" w:hAnsi="Arial"/>
          <w:sz w:val="24"/>
          <w:szCs w:val="24"/>
        </w:rPr>
        <w:t xml:space="preserve">Пандемия COVID-19 остается одной из серьезных препятствий и создает неблагоприятные условия для ведения бизнеса, подрывая эффективность деятельности компаний, приводя к экономическим потерям, повышая расходы и риски, связанные с ведением бизнеса.</w:t>
      </w:r>
    </w:p>
    <w:p>
      <w:pPr>
        <w:spacing w:after="60"/>
        <w:ind w:firstLine="567"/>
        <w:jc w:val="both"/>
      </w:pPr>
      <w:r>
        <w:rPr>
          <w:rFonts w:ascii="Arial" w:cs="Arial" w:eastAsia="Arial" w:hAnsi="Arial"/>
          <w:sz w:val="24"/>
          <w:szCs w:val="24"/>
        </w:rPr>
        <w:t xml:space="preserve">Вопросы электроснабжения являются чрезвычайно важным аспектом для ежедневной деятельности каждой компании в мире. Нехватка и отключение в стране электроэнергии в последние годы и связанные с этим многочисленные проблемы негативно влияют не только на население, но и на бизнес. Отрасль связи является наиболее энергозависимой и без электричества предоставление услуг электросвязи не представляется возможным.</w:t>
      </w:r>
    </w:p>
    <w:p>
      <w:pPr>
        <w:spacing w:after="60"/>
        <w:ind w:firstLine="567"/>
        <w:jc w:val="both"/>
      </w:pPr>
      <w:r>
        <w:rPr>
          <w:rFonts w:ascii="Arial" w:cs="Arial" w:eastAsia="Arial" w:hAnsi="Arial"/>
          <w:sz w:val="24"/>
          <w:szCs w:val="24"/>
        </w:rPr>
        <w:t xml:space="preserve">Курс валют и изменение цен на товары оказывают очень большое влияние на работу и предоставление услуг компаний.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9gunripss_locwb5ahv">
      <w:r>
        <w:rPr>
          <w:rFonts w:ascii="Arial" w:cs="Arial" w:eastAsia="Arial" w:hAnsi="Arial"/>
          <w:color w:val="132D3F"/>
          <w:sz w:val="16"/>
          <w:szCs w:val="16"/>
          <w:u w:val="single"/>
        </w:rPr>
        <w:t xml:space="preserve">dalil.kg/document/159587</w:t>
      </w:r>
    </w:hyperlink>
  </w:p>
  <w:p>
    <w:pPr>
      <w:spacing w:after="0" w:before="40"/>
      <w:jc w:val="center"/>
    </w:pPr>
    <w:hyperlink w:history="1" r:id="rIdnjecgpjoexj5hc-fuki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dikm-bb0s0p-16txgpnj" Type="http://schemas.openxmlformats.org/officeDocument/2006/relationships/hyperlink" Target="https://dalil.kg/document/159586" TargetMode="External"/><Relationship Id="rIdep6c8j8aar67aqyq73yic" Type="http://schemas.openxmlformats.org/officeDocument/2006/relationships/hyperlink" Target="https://dalil.kg/document/430002" TargetMode="External"/><Relationship Id="rId38y4uflchdibeo1mzxwid" Type="http://schemas.openxmlformats.org/officeDocument/2006/relationships/hyperlink" Target="https://dalil.kg/document/430002" TargetMode="External"/><Relationship Id="rIdpxetgfrshhalid7rouewd" Type="http://schemas.openxmlformats.org/officeDocument/2006/relationships/hyperlink" Target="https://dalil.kg/document/112309" TargetMode="External"/><Relationship Id="rIdhnvtqafpqb2pl3ofvz083" Type="http://schemas.openxmlformats.org/officeDocument/2006/relationships/hyperlink" Target="https://dalil.kg/document/42" TargetMode="External"/><Relationship Id="rIdnxg307jwyvomhrzaorf83" Type="http://schemas.openxmlformats.org/officeDocument/2006/relationships/hyperlink" Target="https://dalil.kg/document/1453" TargetMode="External"/><Relationship Id="rIdkh7b6rduxufsepv5qtrbx" Type="http://schemas.openxmlformats.org/officeDocument/2006/relationships/hyperlink" Target="https://dalil.kg/document/42" TargetMode="External"/><Relationship Id="rIdz_iyaqoqawfqotsmalhfo" Type="http://schemas.openxmlformats.org/officeDocument/2006/relationships/hyperlink" Target="https://dalil.kg/document/42" TargetMode="External"/><Relationship Id="rIdltkb5glamk3roourmppgp" Type="http://schemas.openxmlformats.org/officeDocument/2006/relationships/hyperlink" Target="https://dalil.kg/document/434" TargetMode="External"/><Relationship Id="rIdfwy2pf_blg6phjjdi2py-" Type="http://schemas.openxmlformats.org/officeDocument/2006/relationships/hyperlink" Target="https://dalil.kg/document/4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9gunripss_locwb5ahv" Type="http://schemas.openxmlformats.org/officeDocument/2006/relationships/hyperlink" Target="https://dalil.kg/document/159587" TargetMode="External"/><Relationship Id="rIdnjecgpjoexj5hc-fuki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2026-09-27T16:04:12.305Z</dcterms:created>
  <dcterms:modified xsi:type="dcterms:W3CDTF">2026-09-27T16:04:12.305Z</dcterms:modified>
</cp:coreProperties>
</file>

<file path=docProps/custom.xml><?xml version="1.0" encoding="utf-8"?>
<Properties xmlns="http://schemas.openxmlformats.org/officeDocument/2006/custom-properties" xmlns:vt="http://schemas.openxmlformats.org/officeDocument/2006/docPropsVTypes"/>
</file>