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w:t>
      </w:r>
    </w:p>
    <w:p>
      <w:pPr>
        <w:spacing w:after="120"/>
        <w:jc w:val="center"/>
      </w:pPr>
      <w:r>
        <w:rPr>
          <w:rFonts w:ascii="Arial" w:cs="Arial" w:eastAsia="Arial" w:hAnsi="Arial"/>
          <w:i/>
          <w:iCs/>
          <w:sz w:val="24"/>
          <w:szCs w:val="24"/>
        </w:rPr>
        <w:t xml:space="preserve">Кабинета Министров Кыргызской Республикой </w:t>
      </w:r>
    </w:p>
    <w:p>
      <w:pPr>
        <w:spacing w:after="120"/>
        <w:jc w:val="center"/>
      </w:pPr>
      <w:r>
        <w:rPr>
          <w:rFonts w:ascii="Arial" w:cs="Arial" w:eastAsia="Arial" w:hAnsi="Arial"/>
          <w:i/>
          <w:iCs/>
          <w:sz w:val="24"/>
          <w:szCs w:val="24"/>
        </w:rPr>
        <w:t xml:space="preserve">от 8 сентября 2023 года № 454</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6 сентября 2022 года № 484</w:t>
      </w:r>
    </w:p>
    <w:p>
      <w:pPr>
        <w:spacing w:after="400" w:before="400"/>
        <w:jc w:val="center"/>
      </w:pPr>
      <w:r>
        <w:rPr>
          <w:rFonts w:ascii="Arial" w:cs="Arial" w:eastAsia="Arial" w:hAnsi="Arial"/>
          <w:b/>
          <w:bCs/>
          <w:sz w:val="28"/>
          <w:szCs w:val="28"/>
        </w:rPr>
        <w:t xml:space="preserve">О Прогнозе социально-экономического развития Кыргызской Республики на 2023-2027 годы</w:t>
      </w:r>
    </w:p>
    <w:p>
      <w:pPr>
        <w:spacing w:after="60"/>
        <w:ind w:firstLine="567"/>
        <w:jc w:val="both"/>
      </w:pPr>
      <w:r>
        <w:rPr>
          <w:rFonts w:ascii="Arial" w:cs="Arial" w:eastAsia="Arial" w:hAnsi="Arial"/>
          <w:sz w:val="24"/>
          <w:szCs w:val="24"/>
        </w:rPr>
        <w:t xml:space="preserve">В целях определения макроэкономических параметров развития Кыргызской Республики на среднесрочный период, в соответствии со </w:t>
      </w:r>
      <w:hyperlink w:history="1" r:id="rIdhvvlltlrwp6kvcjc1ykv7">
        <w:r>
          <w:rPr>
            <w:rFonts w:ascii="Arial" w:cs="Arial" w:eastAsia="Arial" w:hAnsi="Arial"/>
            <w:color w:val="1D4ED8"/>
            <w:sz w:val="24"/>
            <w:szCs w:val="24"/>
            <w:u w:val="single"/>
          </w:rPr>
          <w:t xml:space="preserve">статьей 74</w:t>
        </w:r>
      </w:hyperlink>
      <w:r>
        <w:rPr>
          <w:rFonts w:ascii="Arial" w:cs="Arial" w:eastAsia="Arial" w:hAnsi="Arial"/>
          <w:sz w:val="24"/>
          <w:szCs w:val="24"/>
        </w:rPr>
        <w:t xml:space="preserve"> Бюджетного кодекса Кыргызской Республики, статьями </w:t>
      </w:r>
      <w:hyperlink w:history="1" r:id="rIdbkwvdr1jjftbhrrgnk9xk">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4qwssadtnecnw_4fe6ahq">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 Прогноз социально-экономического развития Кыргызской Республики на 2023-2027 годы согласно приложению.</w:t>
      </w:r>
    </w:p>
    <w:p>
      <w:pPr>
        <w:spacing w:after="60"/>
        <w:ind w:firstLine="567"/>
        <w:jc w:val="both"/>
      </w:pPr>
      <w:r>
        <w:rPr>
          <w:rFonts w:ascii="Arial" w:cs="Arial" w:eastAsia="Arial" w:hAnsi="Arial"/>
          <w:sz w:val="24"/>
          <w:szCs w:val="24"/>
        </w:rPr>
        <w:t xml:space="preserve">2. Министерству финансов Кыргызской Республики при формировании основных направлений фискальной политики Кыргызской Республики на 2023-2027 годы принять за основу утвержденные макроэкономические параметры развития Кыргызской Республики на 2023-2027 годы.</w:t>
      </w:r>
    </w:p>
    <w:p>
      <w:pPr>
        <w:spacing w:after="60"/>
        <w:ind w:firstLine="567"/>
        <w:jc w:val="both"/>
      </w:pPr>
      <w:r>
        <w:rPr>
          <w:rFonts w:ascii="Arial" w:cs="Arial" w:eastAsia="Arial" w:hAnsi="Arial"/>
          <w:sz w:val="24"/>
          <w:szCs w:val="24"/>
        </w:rPr>
        <w:t xml:space="preserve">3. Государственным органам исполнительной власти и мэриям городов Бишкек и Ош (по согласованию):</w:t>
      </w:r>
    </w:p>
    <w:p>
      <w:pPr>
        <w:spacing w:after="60"/>
        <w:ind w:firstLine="567"/>
        <w:jc w:val="both"/>
      </w:pPr>
      <w:r>
        <w:rPr>
          <w:rFonts w:ascii="Arial" w:cs="Arial" w:eastAsia="Arial" w:hAnsi="Arial"/>
          <w:sz w:val="24"/>
          <w:szCs w:val="24"/>
        </w:rPr>
        <w:t xml:space="preserve">1) принять за основу утвержденные макроэкономические параметры развития Кыргызской Республики на 2023-2027 годы при разработке среднесрочных программ и стратегий развития;</w:t>
      </w:r>
    </w:p>
    <w:p>
      <w:pPr>
        <w:spacing w:after="60"/>
        <w:ind w:firstLine="567"/>
        <w:jc w:val="both"/>
      </w:pPr>
      <w:r>
        <w:rPr>
          <w:rFonts w:ascii="Arial" w:cs="Arial" w:eastAsia="Arial" w:hAnsi="Arial"/>
          <w:sz w:val="24"/>
          <w:szCs w:val="24"/>
        </w:rPr>
        <w:t xml:space="preserve">2) принять исчерпывающие меры по выполнению мероприятий, предусмотренных в программных документах Кабинета Министров Кыргызской Республики, восстановлению экономической активности и поддержке деятельности субъектов предпринимательства, изысканию дополнительных резервов производства и ресурсов по курируемым направлениям для обеспечения целевых показателей темпов экономического роста;</w:t>
      </w:r>
    </w:p>
    <w:p>
      <w:pPr>
        <w:spacing w:after="60"/>
        <w:ind w:firstLine="567"/>
        <w:jc w:val="both"/>
      </w:pPr>
      <w:r>
        <w:rPr>
          <w:rFonts w:ascii="Arial" w:cs="Arial" w:eastAsia="Arial" w:hAnsi="Arial"/>
          <w:sz w:val="24"/>
          <w:szCs w:val="24"/>
        </w:rPr>
        <w:t xml:space="preserve">3) осуществлять мониторинг выполнения целевых показателей социально-экономического развития Кыргызской Республики и ежемесячно, не позднее 15 числа месяца, следующего за отчетным периодом, представлять в Министерство экономики и коммерции Кыргызской Республики информацию о ходе выполнения целевых показателей социально-экономического развития Кыргызской Республики за отчетный период.</w:t>
      </w:r>
    </w:p>
    <w:p>
      <w:pPr>
        <w:spacing w:after="60"/>
        <w:ind w:firstLine="567"/>
        <w:jc w:val="both"/>
      </w:pPr>
      <w:r>
        <w:rPr>
          <w:rFonts w:ascii="Arial" w:cs="Arial" w:eastAsia="Arial" w:hAnsi="Arial"/>
          <w:sz w:val="24"/>
          <w:szCs w:val="24"/>
        </w:rPr>
        <w:t xml:space="preserve">4. Министерству экономики и коммерции Кыргызской Республики:</w:t>
      </w:r>
    </w:p>
    <w:p>
      <w:pPr>
        <w:spacing w:after="60"/>
        <w:ind w:firstLine="567"/>
        <w:jc w:val="both"/>
      </w:pPr>
      <w:r>
        <w:rPr>
          <w:rFonts w:ascii="Arial" w:cs="Arial" w:eastAsia="Arial" w:hAnsi="Arial"/>
          <w:sz w:val="24"/>
          <w:szCs w:val="24"/>
        </w:rPr>
        <w:t xml:space="preserve">1) ежеквартально обобщать результаты мониторинга выполнения целевых показателей социально-экономического развития Кыргызской Республики и представлять в Кабинет Министров Кыргызской Республики информацию о выполнении целевых показателей социально-экономического развития Кыргызской Республики за отчетный период в соответствии с утвержденным графиком и перечнем вопросов, подлежащих рассмотрению на заседаниях Кабинета Министров Кыргызской Республики;</w:t>
      </w:r>
    </w:p>
    <w:p>
      <w:pPr>
        <w:spacing w:after="60"/>
        <w:ind w:firstLine="567"/>
        <w:jc w:val="both"/>
      </w:pPr>
      <w:r>
        <w:rPr>
          <w:rFonts w:ascii="Arial" w:cs="Arial" w:eastAsia="Arial" w:hAnsi="Arial"/>
          <w:sz w:val="24"/>
          <w:szCs w:val="24"/>
        </w:rPr>
        <w:t xml:space="preserve">2) опубликовать Прогноз социально-экономического развития Кыргызской Республики на 2023-2027 годы на официальном веб-сайте министерства.</w:t>
      </w:r>
    </w:p>
    <w:p>
      <w:pPr>
        <w:spacing w:after="60"/>
        <w:ind w:firstLine="567"/>
        <w:jc w:val="both"/>
      </w:pPr>
      <w:r>
        <w:rPr>
          <w:rFonts w:ascii="Arial" w:cs="Arial" w:eastAsia="Arial" w:hAnsi="Arial"/>
          <w:sz w:val="24"/>
          <w:szCs w:val="24"/>
        </w:rPr>
        <w:t xml:space="preserve">5. Признать утратившим силу постановление Кабинета Министров Кыргызской Республики "О Среднесрочном прогнозе социально-экономического развития Кыргызской Республики на 2022-2024 годы" от 28 июня 2021 года № 47.</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У.</w:t>
      </w:r>
      <w:r>
        <w:rPr>
          <w:rFonts w:ascii="Arial" w:cs="Arial" w:eastAsia="Arial" w:hAnsi="Arial"/>
          <w:b/>
          <w:bCs/>
          <w:sz w:val="24"/>
          <w:szCs w:val="24"/>
        </w:rPr>
        <w:t xml:space="preserve">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ПРОГНОЗ
 социально-экономического развития Кыргызской Республики на 2023-2027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Основной целью Прогноза социально-экономического развития Кыргызской Республики на 2023-2027 годы (далее - Прогноз социально-экономического развития) является определение количественных ориентиров и параметров макроэкономического развития на среднесрочный период путем анализа социально-экономических процессов и тенденций, выявления имеющихся ресурсов и возможных факторов риска развития экономики страны.</w:t>
      </w:r>
    </w:p>
    <w:p>
      <w:pPr>
        <w:spacing w:after="60"/>
        <w:ind w:firstLine="567"/>
        <w:jc w:val="both"/>
      </w:pPr>
      <w:r>
        <w:rPr>
          <w:rFonts w:ascii="Arial" w:cs="Arial" w:eastAsia="Arial" w:hAnsi="Arial"/>
          <w:sz w:val="24"/>
          <w:szCs w:val="24"/>
        </w:rPr>
        <w:t xml:space="preserve">В Прогнозе социально-экономического развития определены основные направления развития ключевых отраслей экономики на 2023 год, включая детализированное описание их прогнозных значений, и перспективы развития экономики страны на 2024-2027 годы, основанные на базе официальных прогнозов отраслевых министерств, ведомств, регионов.</w:t>
      </w:r>
    </w:p>
    <w:p>
      <w:pPr>
        <w:spacing w:after="60"/>
        <w:ind w:firstLine="567"/>
        <w:jc w:val="both"/>
      </w:pPr>
      <w:r>
        <w:rPr>
          <w:rFonts w:ascii="Arial" w:cs="Arial" w:eastAsia="Arial" w:hAnsi="Arial"/>
          <w:sz w:val="24"/>
          <w:szCs w:val="24"/>
        </w:rPr>
        <w:t xml:space="preserve">Прогноз социально-экономического развития является основой </w:t>
      </w:r>
      <w:r>
        <w:rPr>
          <w:rFonts w:ascii="Arial" w:cs="Arial" w:eastAsia="Arial" w:hAnsi="Arial"/>
          <w:sz w:val="24"/>
          <w:szCs w:val="24"/>
        </w:rPr>
        <w:t xml:space="preserve">для разработки проекта постановления Кабинета Министров Кыргызской Республики "Основные направления фискальной политики Кыргызской Республики на 2023-2027 годы".</w:t>
      </w:r>
    </w:p>
    <w:p>
      <w:pPr>
        <w:spacing w:after="200" w:before="200"/>
        <w:jc w:val="center"/>
      </w:pPr>
      <w:r>
        <w:rPr>
          <w:rFonts w:ascii="Arial" w:cs="Arial" w:eastAsia="Arial" w:hAnsi="Arial"/>
          <w:b/>
          <w:bCs/>
          <w:sz w:val="24"/>
          <w:szCs w:val="24"/>
        </w:rPr>
        <w:t xml:space="preserve">2. Основные тенденции социально-экономического развития Кыргызской Республики в 2021 году и январе-июне 2022 года</w:t>
      </w:r>
    </w:p>
    <w:p>
      <w:pPr>
        <w:spacing w:after="60" w:before="200"/>
        <w:ind w:firstLine="567"/>
        <w:jc w:val="both"/>
      </w:pPr>
      <w:r>
        <w:rPr>
          <w:rFonts w:ascii="Arial" w:cs="Arial" w:eastAsia="Arial" w:hAnsi="Arial"/>
          <w:b/>
          <w:bCs/>
          <w:sz w:val="24"/>
          <w:szCs w:val="24"/>
        </w:rPr>
        <w:t xml:space="preserve">2.1. Краткие итоги 2021 года</w:t>
      </w:r>
    </w:p>
    <w:p>
      <w:pPr>
        <w:spacing w:after="60"/>
        <w:ind w:firstLine="567"/>
        <w:jc w:val="both"/>
      </w:pPr>
      <w:r>
        <w:rPr>
          <w:rFonts w:ascii="Arial" w:cs="Arial" w:eastAsia="Arial" w:hAnsi="Arial"/>
          <w:sz w:val="24"/>
          <w:szCs w:val="24"/>
        </w:rPr>
        <w:t xml:space="preserve">В 2021 году наблюдалось восстановление экономики, однако уровень деловой активности во многих странах все еще не достиг допандемийного. В целом действие ограничительных мер в связи с распространением новых штаммов COVID-19 и более медленный процесс вакцинации населения, чем ожидалось ранее, продолжали оказывать сдерживающий эффект на рост мировой экономики на протяжении всего 2021 года. Сохраняющиеся ограничения в глобальных логистических цепочках вместе с последствиями стимулирующих мер, направленных на минимизацию последствий пандемии, обусловили высокий инфляционный фон во всех странах мира.</w:t>
      </w:r>
    </w:p>
    <w:p>
      <w:pPr>
        <w:spacing w:after="60"/>
        <w:ind w:firstLine="567"/>
        <w:jc w:val="both"/>
      </w:pPr>
      <w:r>
        <w:rPr>
          <w:rFonts w:ascii="Arial" w:cs="Arial" w:eastAsia="Arial" w:hAnsi="Arial"/>
          <w:sz w:val="24"/>
          <w:szCs w:val="24"/>
        </w:rPr>
        <w:t xml:space="preserve">За 2021 год, по предварительной оценке, во всех странах сложились высокие показатели экономического роста, при этом темп экономического роста Китайской Народной Республики (далее - КНР) в 2021 году на фоне успешного восстановления страны от негативного воздействия пандемии оказался самым высоким за последние 10 лет, составив 8,1%, что превысило целевой показатель страны на уровне выше 6%, сохранив устойчивую тенденцию к восстановлению и развитию, несмотря на существующие риски и вызовы.</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Темпы реального прироста ВВП мировой экономики
 и в государствах-членах ЕАЭС, в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5"/>
        <w:gridCol w:w="5179"/>
        <w:gridCol w:w="2068"/>
        <w:gridCol w:w="2066"/>
      </w:tblGrid>
      <w:tr>
        <w:tc>
          <w:tcPr>
            <w:tcW w:type="dxa" w:w="86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2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КНР</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В 2021 году в Кыргызской Республике темп экономического роста достиг 3,6%, прирост ВВП, без учета предприятий по разработке месторождения Кумтор, составил 3,9%. При этом восстановительный процесс в экономике неоднороден - рост экономики обеспечен в основном сектором промышленности и сферой услуг.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Структура и темпы роста по отраслям, формирующим ВВП
 </w:t>
      </w:r>
      <w:r>
        <w:rPr>
          <w:rFonts w:ascii="Arial" w:cs="Arial" w:eastAsia="Arial" w:hAnsi="Arial"/>
          <w:sz w:val="24"/>
          <w:szCs w:val="24"/>
        </w:rPr>
        <w:t xml:space="preserve">(темпы роста приведены по ВДС)</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02"/>
        <w:gridCol w:w="1047"/>
        <w:gridCol w:w="1047"/>
        <w:gridCol w:w="1047"/>
        <w:gridCol w:w="1047"/>
        <w:gridCol w:w="1047"/>
        <w:gridCol w:w="1047"/>
        <w:gridCol w:w="1047"/>
        <w:gridCol w:w="1047"/>
      </w:tblGrid>
      <w:tr>
        <w:tc>
          <w:tcPr>
            <w:tcW w:type="dxa" w:w="180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факт</w:t>
            </w:r>
          </w:p>
        </w:tc>
        <w:tc>
          <w:tcPr>
            <w:tcW w:type="dxa" w:w="41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факт</w:t>
            </w:r>
          </w:p>
        </w:tc>
      </w:tr>
      <w:tr>
        <w:tc>
          <w:tcPr>
            <w:vMerge w:val="continue"/>
            <w:tcBorders>
              <w:top w:val="single" w:color="CBBF9E" w:sz="4"/>
              <w:left w:val="single" w:color="CBBF9E" w:sz="4"/>
              <w:bottom w:val="single" w:color="CBBF9E" w:sz="4"/>
              <w:right w:val="single" w:color="CBBF9E" w:sz="4"/>
            </w:tcBorders>
          </w:tcPr>
          <w:p/>
        </w:tc>
        <w:tc>
          <w:tcPr>
            <w:tcW w:type="dxa" w:w="10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w:t>
            </w:r>
            <w:r>
              <w:rPr>
                <w:rFonts w:ascii="Arial" w:cs="Arial" w:eastAsia="Arial" w:hAnsi="Arial"/>
                <w:b/>
                <w:bCs/>
                <w:sz w:val="24"/>
                <w:szCs w:val="24"/>
              </w:rPr>
              <w:t xml:space="preserve">.</w:t>
            </w:r>
            <w:r>
              <w:rPr>
                <w:rFonts w:ascii="Arial" w:cs="Arial" w:eastAsia="Arial" w:hAnsi="Arial"/>
                <w:b/>
                <w:bCs/>
                <w:sz w:val="24"/>
                <w:szCs w:val="24"/>
              </w:rPr>
              <w:t xml:space="preserve"> сомов</w:t>
            </w:r>
          </w:p>
        </w:tc>
        <w:tc>
          <w:tcPr>
            <w:tcW w:type="dxa" w:w="10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w:t>
            </w:r>
          </w:p>
        </w:tc>
        <w:tc>
          <w:tcPr>
            <w:tcW w:type="dxa" w:w="10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10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w:t>
            </w:r>
            <w:r>
              <w:rPr>
                <w:rFonts w:ascii="Arial" w:cs="Arial" w:eastAsia="Arial" w:hAnsi="Arial"/>
                <w:b/>
                <w:bCs/>
                <w:sz w:val="24"/>
                <w:szCs w:val="24"/>
              </w:rPr>
              <w:t xml:space="preserve">.</w:t>
            </w:r>
            <w:r>
              <w:rPr>
                <w:rFonts w:ascii="Arial" w:cs="Arial" w:eastAsia="Arial" w:hAnsi="Arial"/>
                <w:b/>
                <w:bCs/>
                <w:sz w:val="24"/>
                <w:szCs w:val="24"/>
              </w:rPr>
              <w:t xml:space="preserve"> сомов</w:t>
            </w:r>
          </w:p>
        </w:tc>
        <w:tc>
          <w:tcPr>
            <w:tcW w:type="dxa" w:w="10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w:t>
            </w:r>
          </w:p>
        </w:tc>
        <w:tc>
          <w:tcPr>
            <w:tcW w:type="dxa" w:w="10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 ВВП</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 ВВП</w:t>
            </w:r>
          </w:p>
        </w:tc>
        <w:tc>
          <w:tcPr>
            <w:vMerge w:val="continue"/>
            <w:tcBorders>
              <w:top w:val="none" w:color="auto" w:sz="0"/>
              <w:left w:val="none" w:color="auto" w:sz="0"/>
              <w:bottom w:val="single" w:color="CBBF9E" w:sz="4"/>
              <w:right w:val="single" w:color="CBBF9E" w:sz="4"/>
            </w:tcBorders>
          </w:tcPr>
          <w:p/>
        </w:tc>
      </w:tr>
      <w:tr>
        <w:tc>
          <w:tcPr>
            <w:tcW w:type="dxa" w:w="18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601820,3</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91,6</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723122,2</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103,6</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w:t>
            </w:r>
          </w:p>
        </w:tc>
      </w:tr>
      <w:tr>
        <w:tc>
          <w:tcPr>
            <w:tcW w:type="dxa" w:w="1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115833,0</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132661,7</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r>
      <w:tr>
        <w:tc>
          <w:tcPr>
            <w:tcW w:type="dxa" w:w="1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81693,1</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106170,3</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w:t>
            </w:r>
          </w:p>
        </w:tc>
      </w:tr>
      <w:tr>
        <w:tc>
          <w:tcPr>
            <w:tcW w:type="dxa" w:w="1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59910,8</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60328,8</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r>
      <w:tr>
        <w:tc>
          <w:tcPr>
            <w:tcW w:type="dxa" w:w="1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279181,6</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326878,0</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r>
      <w:tr>
        <w:tc>
          <w:tcPr>
            <w:tcW w:type="dxa" w:w="1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65201,8</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97083,4</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Основной положительный вклад в рост ВВП обеспечен сферой услуг (2,99 п.п.), где реальный прирост составил 6,5%, и промышленностью, без учета предприятий по разработке месторождения Кумтор, где реальный прирост составил 12,9% (вклад в рост 1,3 п.п.).</w:t>
      </w:r>
    </w:p>
    <w:p>
      <w:pPr>
        <w:spacing w:after="60"/>
        <w:ind w:firstLine="567"/>
        <w:jc w:val="both"/>
      </w:pPr>
      <w:r>
        <w:rPr>
          <w:rFonts w:ascii="Arial" w:cs="Arial" w:eastAsia="Arial" w:hAnsi="Arial"/>
          <w:sz w:val="24"/>
          <w:szCs w:val="24"/>
        </w:rPr>
        <w:t xml:space="preserve">Сдерживающим факторам в развитии страны был спад производства в сельском хозяйстве на 5,0% и строительстве - на 4,8%. Снижение объемов производства сельскохозяйственной продукции в основном обусловлено сложными климатическими условиями для сельскохозяйственного производства. Аномально высокая температура летом 2021 года и недостаток поливной воды в вегетационный период обусловили сокращение урожайности сельскохозяйственных культур. Спад объемов строительства связан со снижением инвестиций в основной капитал на 5,9% из-за уменьшения источников финансирования как за счет внутренних (на 4,9%), так и за счет внешних источников (на 10,0%), что привело к неполному освоению запланированных объемов инвестиций.</w:t>
      </w:r>
    </w:p>
    <w:p>
      <w:pPr>
        <w:spacing w:after="60"/>
        <w:ind w:firstLine="567"/>
        <w:jc w:val="both"/>
      </w:pPr>
      <w:r>
        <w:rPr>
          <w:rFonts w:ascii="Arial" w:cs="Arial" w:eastAsia="Arial" w:hAnsi="Arial"/>
          <w:sz w:val="24"/>
          <w:szCs w:val="24"/>
        </w:rPr>
        <w:t xml:space="preserve">Индекс потребительских цен, характеризующий уровень инфляции, составил 111,2% (к декабрю предыдущего года), это самый высокий показатель с 2011 года. Уровень инфляции в Кыргызской Республике был наиболее высоким среди государств-членов ЕАЭС, тогда как в Беларуси этот показатель составил 110,0%, в России и Казахстане - 108,4%, Армении - 107,7%.</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Индекс потребительских цен в государствах-членах
 ЕАЭС в 2020-2021 гг.
 (в % к декабрю предыдущего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5"/>
        <w:gridCol w:w="5179"/>
        <w:gridCol w:w="2068"/>
        <w:gridCol w:w="2066"/>
      </w:tblGrid>
      <w:tr>
        <w:tc>
          <w:tcPr>
            <w:tcW w:type="dxa" w:w="86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2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109,7</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111,2</w:t>
            </w:r>
          </w:p>
        </w:tc>
      </w:tr>
      <w:tr>
        <w:tc>
          <w:tcPr>
            <w:tcW w:type="dxa" w:w="8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Среднегодовое значение инфляции (январь-декабрь 2021 года к январю-декабрю 2020 года) составило 111,9% (за январь-декабрь 2020 года к январю-декабрю 2019 года составляло 106,3%). Высокий уровень инфляции сложился в основном из-за влияния факторов внешнего характера - это общемировое повышение цен на продовольственные товары, топливо и неблагоприятные климатические условия, обусловившие существенное снижение производства сельскохозяйственной продукции.</w:t>
      </w:r>
    </w:p>
    <w:p>
      <w:pPr>
        <w:spacing w:after="60"/>
        <w:ind w:firstLine="567"/>
        <w:jc w:val="both"/>
      </w:pPr>
      <w:r>
        <w:rPr>
          <w:rFonts w:ascii="Arial" w:cs="Arial" w:eastAsia="Arial" w:hAnsi="Arial"/>
          <w:sz w:val="24"/>
          <w:szCs w:val="24"/>
        </w:rPr>
        <w:t xml:space="preserve">В 2021 году проводилась активная работа по улучшению налогового администрирования и внедрению цифровых технологий в налоговые и таможенные процедуры. За 2021 год объем налоговых доходов составил 151,2 млрд. сомов, при этом плановый показатель перевыполнен на 0,1%. По сравнению с 2020 годом налоговые доходы выросли на 44,3 млрд. сомов или на 41,4%.</w:t>
      </w:r>
    </w:p>
    <w:p>
      <w:pPr>
        <w:spacing w:after="60"/>
        <w:ind w:firstLine="567"/>
        <w:jc w:val="both"/>
      </w:pPr>
      <w:r>
        <w:rPr>
          <w:rFonts w:ascii="Arial" w:cs="Arial" w:eastAsia="Arial" w:hAnsi="Arial"/>
          <w:sz w:val="24"/>
          <w:szCs w:val="24"/>
        </w:rPr>
        <w:t xml:space="preserve">Дефицит государственного бюджета за 2021 год составил 0,2% к ВВП. По состоянию на 31 декабря 2021 года, уровень государственного долга к ВВП составил 60,3%.</w:t>
      </w:r>
    </w:p>
    <w:p>
      <w:pPr>
        <w:spacing w:after="60"/>
        <w:ind w:firstLine="567"/>
        <w:jc w:val="both"/>
      </w:pPr>
      <w:r>
        <w:rPr>
          <w:rFonts w:ascii="Arial" w:cs="Arial" w:eastAsia="Arial" w:hAnsi="Arial"/>
          <w:sz w:val="24"/>
          <w:szCs w:val="24"/>
        </w:rPr>
        <w:t xml:space="preserve">В целях обеспечения макроэкономической стабильности принят пятилетний План мероприятий Кабинета Министров Кыргызской Республики по реализации </w:t>
      </w:r>
      <w:hyperlink w:history="1" r:id="rIdvjnyxfrow9tfmwsrudlff">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w:t>
      </w:r>
      <w:hyperlink w:history="1" r:id="rIdxf8tasmap6bdl7ooxby2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от 25 декабря 2021 года № 352), включающий структурные изменения в экономике, реализацию крупных инвестиционных проектов, кооперационные связи, возникающие новые бизнес-модели с использованием цифровых технологий и др.</w:t>
      </w:r>
    </w:p>
    <w:p>
      <w:pPr>
        <w:spacing w:after="60" w:before="200"/>
        <w:ind w:firstLine="567"/>
        <w:jc w:val="both"/>
      </w:pPr>
      <w:r>
        <w:rPr>
          <w:rFonts w:ascii="Arial" w:cs="Arial" w:eastAsia="Arial" w:hAnsi="Arial"/>
          <w:b/>
          <w:bCs/>
          <w:sz w:val="24"/>
          <w:szCs w:val="24"/>
        </w:rPr>
        <w:t xml:space="preserve">2.2. Текущая ситуация - итоги за январь-июнь 2022 года</w:t>
      </w:r>
    </w:p>
    <w:p>
      <w:pPr>
        <w:spacing w:after="60"/>
        <w:ind w:firstLine="567"/>
        <w:jc w:val="both"/>
      </w:pPr>
      <w:r>
        <w:rPr>
          <w:rFonts w:ascii="Arial" w:cs="Arial" w:eastAsia="Arial" w:hAnsi="Arial"/>
          <w:sz w:val="24"/>
          <w:szCs w:val="24"/>
        </w:rPr>
        <w:t xml:space="preserve">В 2022 году мировая экономика еще не полностью восстановилась от пандемии коронавирусной инфекции. Остающиеся дисбалансы между спросом и предложением, а также меры поддержки во время пандемии привели к сохранению повышенного инфляционного фона и ужесточению денежно-кредитной политики.</w:t>
      </w:r>
    </w:p>
    <w:p>
      <w:pPr>
        <w:spacing w:after="60"/>
        <w:ind w:firstLine="567"/>
        <w:jc w:val="both"/>
      </w:pPr>
      <w:r>
        <w:rPr>
          <w:rFonts w:ascii="Arial" w:cs="Arial" w:eastAsia="Arial" w:hAnsi="Arial"/>
          <w:sz w:val="24"/>
          <w:szCs w:val="24"/>
        </w:rPr>
        <w:t xml:space="preserve">Военные действия на Украине, увеличившие ущерб, нанесенный пандемией COVID-19, еще больше затормозили мировую экономику, вступающую в этап своего развития, который может оказаться затяжным периодом вялого роста и высокой инфляции.</w:t>
      </w:r>
    </w:p>
    <w:p>
      <w:pPr>
        <w:spacing w:after="60"/>
        <w:ind w:firstLine="567"/>
        <w:jc w:val="both"/>
      </w:pPr>
      <w:r>
        <w:rPr>
          <w:rFonts w:ascii="Arial" w:cs="Arial" w:eastAsia="Arial" w:hAnsi="Arial"/>
          <w:sz w:val="24"/>
          <w:szCs w:val="24"/>
        </w:rPr>
        <w:t xml:space="preserve">В этих условиях развитие экономики стран - основных торговых партнеров происходит неравномерно.</w:t>
      </w:r>
    </w:p>
    <w:p>
      <w:pPr>
        <w:spacing w:after="60"/>
        <w:ind w:firstLine="567"/>
        <w:jc w:val="both"/>
      </w:pPr>
      <w:r>
        <w:rPr>
          <w:rFonts w:ascii="Arial" w:cs="Arial" w:eastAsia="Arial" w:hAnsi="Arial"/>
          <w:sz w:val="24"/>
          <w:szCs w:val="24"/>
        </w:rPr>
        <w:t xml:space="preserve">По результатам за I полугодие 2022 года наблюдается положительная динамика экономического роста в государствах-членах ЕАЭС, за исключением Республики Беларусь, где темпы реального прироста ВВП снизились на 4,2% и Российской Федерации - на 0,5%. При этом снизились темпы экономического роста в Республике Казахстан с 4,4% (I кв.) до 3,4%, в Республике Беларусь отрицательное значение увеличилось до -4,2% с -0,4% (I кв.).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Темпы реального прироста ВВП в государствах-членах ЕАЭС, в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4"/>
        <w:gridCol w:w="1766"/>
        <w:gridCol w:w="1766"/>
        <w:gridCol w:w="1766"/>
        <w:gridCol w:w="1766"/>
      </w:tblGrid>
      <w:tr>
        <w:tc>
          <w:tcPr>
            <w:tcW w:type="dxa" w:w="311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35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35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r>
      <w:tr>
        <w:tc>
          <w:tcPr>
            <w:vMerge w:val="continue"/>
            <w:tcBorders>
              <w:top w:val="single" w:color="CBBF9E" w:sz="4"/>
              <w:left w:val="single" w:color="CBBF9E" w:sz="4"/>
              <w:bottom w:val="single" w:color="CBBF9E" w:sz="4"/>
              <w:right w:val="single" w:color="CBBF9E" w:sz="4"/>
            </w:tcBorders>
          </w:tcP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январь-июнь</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январь-июнь</w:t>
            </w:r>
          </w:p>
        </w:tc>
      </w:tr>
      <w:tr>
        <w:tc>
          <w:tcPr>
            <w:tcW w:type="dxa" w:w="3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r>
      <w:tr>
        <w:tc>
          <w:tcPr>
            <w:tcW w:type="dxa" w:w="3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r>
      <w:tr>
        <w:tc>
          <w:tcPr>
            <w:tcW w:type="dxa" w:w="3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1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91,6</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98,5</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104,5</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106,3</w:t>
            </w:r>
          </w:p>
        </w:tc>
      </w:tr>
      <w:tr>
        <w:tc>
          <w:tcPr>
            <w:tcW w:type="dxa" w:w="31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Результаты социально-экономического развития Кыргызской Республики за 6 месяцев 2022 года продемонстрировали высокие показатели экономического роста. Сложившийся высокий показатель прежде всего обусловлен низкой базой соответствующего периода 2021 года (98,5%).</w:t>
      </w:r>
    </w:p>
    <w:p>
      <w:pPr>
        <w:spacing w:after="60"/>
        <w:ind w:firstLine="567"/>
        <w:jc w:val="both"/>
      </w:pPr>
      <w:r>
        <w:rPr>
          <w:rFonts w:ascii="Arial" w:cs="Arial" w:eastAsia="Arial" w:hAnsi="Arial"/>
          <w:sz w:val="24"/>
          <w:szCs w:val="24"/>
        </w:rPr>
        <w:t xml:space="preserve">По предварительной оценке Национального статистического комитета Кыргызской Республики, за январь-июнь 2022 года объем ВВП сложился в сумме 335,3 млрд. сомов и реальный темп роста составил 106,3%, без учета предприятий по разработке месторождения Кумтор, темп роста составил 103,9%.</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секторам, формирующим ВВП(1)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5"/>
        <w:gridCol w:w="1064"/>
        <w:gridCol w:w="1064"/>
        <w:gridCol w:w="1064"/>
        <w:gridCol w:w="1275"/>
        <w:gridCol w:w="1275"/>
        <w:gridCol w:w="1275"/>
        <w:gridCol w:w="1275"/>
      </w:tblGrid>
      <w:tr>
        <w:tc>
          <w:tcPr>
            <w:tcW w:type="dxa" w:w="18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19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Январь-июнь 2021 года</w:t>
            </w:r>
          </w:p>
        </w:tc>
        <w:tc>
          <w:tcPr>
            <w:tcW w:type="dxa" w:w="51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Январь-июнь 2022 года</w:t>
            </w:r>
          </w:p>
        </w:tc>
      </w:tr>
      <w:tr>
        <w:tc>
          <w:tcPr>
            <w:vMerge w:val="continue"/>
            <w:tcBorders>
              <w:top w:val="single" w:color="CBBF9E" w:sz="4"/>
              <w:left w:val="single" w:color="CBBF9E" w:sz="4"/>
              <w:bottom w:val="single" w:color="CBBF9E" w:sz="4"/>
              <w:right w:val="single" w:color="CBBF9E" w:sz="4"/>
            </w:tcBorders>
          </w:tcP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(млн. сомов)</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(млн. сомов)</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188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276844,2</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98,5</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335320,2</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106,3</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w:t>
            </w:r>
          </w:p>
        </w:tc>
      </w:tr>
      <w:tr>
        <w:tc>
          <w:tcPr>
            <w:tcW w:type="dxa" w:w="1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57487,6</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71578,3</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r>
      <w:tr>
        <w:tc>
          <w:tcPr>
            <w:tcW w:type="dxa" w:w="1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27320,7</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30665,7</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r>
      <w:tr>
        <w:tc>
          <w:tcPr>
            <w:tcW w:type="dxa" w:w="1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15441,1</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17347,6</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w:t>
            </w:r>
          </w:p>
        </w:tc>
      </w:tr>
      <w:tr>
        <w:tc>
          <w:tcPr>
            <w:tcW w:type="dxa" w:w="1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134226,7</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160921,3</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r>
      <w:tr>
        <w:tc>
          <w:tcPr>
            <w:tcW w:type="dxa" w:w="1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42368,1</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54807,3</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0,86</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В секторах экономики показатели сложились следующим образом: в сельском хозяйстве объемы производства возросли на 2,0%, сфере услуг - на 4,0%, промышленности - на 14,6%, строительстве - на 3,4%.</w:t>
      </w:r>
    </w:p>
    <w:p>
      <w:pPr>
        <w:spacing w:after="60"/>
        <w:ind w:firstLine="567"/>
        <w:jc w:val="both"/>
      </w:pPr>
      <w:r>
        <w:rPr>
          <w:rFonts w:ascii="Arial" w:cs="Arial" w:eastAsia="Arial" w:hAnsi="Arial"/>
          <w:sz w:val="24"/>
          <w:szCs w:val="24"/>
        </w:rPr>
        <w:t xml:space="preserve">Ключевым драйвером роста стал сектор промышленности, где на фоне низкой базы соответствующего периода предыдущего года -8,9% достигнуты высокие восстановительные темпы роста на 14,6% за счет стабильной работы металлургических предприятий, наращивания объемов введенных месторождений по добыче основных металлов (темп роста составил 34,6%), восстановления объемов производства пищепереработки (темп роста составил 12,1%) и нефтепродуктов (темп роста составил 15,8%).</w:t>
      </w:r>
    </w:p>
    <w:p>
      <w:pPr>
        <w:spacing w:after="60"/>
        <w:ind w:firstLine="567"/>
        <w:jc w:val="both"/>
      </w:pPr>
      <w:r>
        <w:rPr>
          <w:rFonts w:ascii="Arial" w:cs="Arial" w:eastAsia="Arial" w:hAnsi="Arial"/>
          <w:sz w:val="24"/>
          <w:szCs w:val="24"/>
        </w:rPr>
        <w:t xml:space="preserve">Высокие показатели в сфере услуг (рост на 4%) сложились за счет увеличения объемов оборота оптовой и розничной торговли, ремонта автомобилей и мотоциклов - на 6,6%, транспортной деятельности и хранения грузов - на 15,5%, услуг, предоставленных гостиницами и ресторанами, - на 13,7% и услуг связи - на 2,9%.</w:t>
      </w:r>
    </w:p>
    <w:p>
      <w:pPr>
        <w:spacing w:after="60"/>
        <w:ind w:firstLine="567"/>
        <w:jc w:val="both"/>
      </w:pPr>
      <w:r>
        <w:rPr>
          <w:rFonts w:ascii="Arial" w:cs="Arial" w:eastAsia="Arial" w:hAnsi="Arial"/>
          <w:sz w:val="24"/>
          <w:szCs w:val="24"/>
        </w:rPr>
        <w:t xml:space="preserve">В 2022 году продолжился рост цен на мировых рынках продовольствия, что отразилось на уровне инфляции в стране. В июне 2022 года уровень инфляции составил 109,1% (к декабрю предыдущего года). Среднегодовое значение инфляции (январь-июнь 2022 года к январю-июню 2021 года) составило 112,8%.</w:t>
      </w:r>
    </w:p>
    <w:p>
      <w:pPr>
        <w:spacing w:after="60"/>
        <w:ind w:firstLine="567"/>
        <w:jc w:val="both"/>
      </w:pPr>
      <w:r>
        <w:rPr>
          <w:rFonts w:ascii="Arial" w:cs="Arial" w:eastAsia="Arial" w:hAnsi="Arial"/>
          <w:sz w:val="24"/>
          <w:szCs w:val="24"/>
        </w:rPr>
        <w:t xml:space="preserve">Основной вклад в инфляцию внесен продовольственной группой товаров, преимущественно импортируемых в страну, а плановое повышение акцизов на алкогольную и табачную продукцию внесло дополнительный вклад в общий уровень цен.</w:t>
      </w:r>
    </w:p>
    <w:p>
      <w:pPr>
        <w:spacing w:after="60"/>
        <w:ind w:firstLine="567"/>
        <w:jc w:val="both"/>
      </w:pPr>
      <w:r>
        <w:rPr>
          <w:rFonts w:ascii="Arial" w:cs="Arial" w:eastAsia="Arial" w:hAnsi="Arial"/>
          <w:sz w:val="24"/>
          <w:szCs w:val="24"/>
        </w:rPr>
        <w:t xml:space="preserve">При этом самый высокий показатель инфляции сложился в Республике Беларусь (к декабрю - 113,1%) и Российской Федерации (к декабрю - 111,4%).</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6</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Индекс потребительских цен в государствах-членах ЕАЭС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0"/>
        <w:gridCol w:w="778"/>
        <w:gridCol w:w="831"/>
        <w:gridCol w:w="875"/>
        <w:gridCol w:w="894"/>
        <w:gridCol w:w="1075"/>
        <w:gridCol w:w="696"/>
      </w:tblGrid>
      <w:tr>
        <w:tc>
          <w:tcPr>
            <w:tcW w:type="dxa" w:w="50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8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Армения</w:t>
            </w:r>
          </w:p>
        </w:tc>
        <w:tc>
          <w:tcPr>
            <w:tcW w:type="dxa" w:w="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Беларусь</w:t>
            </w:r>
          </w:p>
        </w:tc>
        <w:tc>
          <w:tcPr>
            <w:tcW w:type="dxa" w:w="8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Казахстан</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Кыргызстан</w:t>
            </w:r>
          </w:p>
        </w:tc>
        <w:tc>
          <w:tcPr>
            <w:tcW w:type="dxa" w:w="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Россия</w:t>
            </w:r>
          </w:p>
        </w:tc>
      </w:tr>
      <w:tr>
        <w:tc>
          <w:tcPr>
            <w:tcW w:type="dxa" w:w="5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ИПЦ (июнь к декабрю предыдущего года)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r>
      <w:tr>
        <w:tc>
          <w:tcPr>
            <w:tcW w:type="dxa" w:w="5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ИПЦ (в процентах к соответствующему периоду предыдущего года)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r>
    </w:tbl>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Условия и факторы/риски социально-экономического развития Кыргызской Республики на 2022-2027 годы</w:t>
      </w:r>
    </w:p>
    <w:p>
      <w:pPr>
        <w:spacing w:after="60"/>
        <w:ind w:firstLine="567"/>
        <w:jc w:val="both"/>
      </w:pPr>
      <w:r>
        <w:rPr>
          <w:rFonts w:ascii="Arial" w:cs="Arial" w:eastAsia="Arial" w:hAnsi="Arial"/>
          <w:sz w:val="24"/>
          <w:szCs w:val="24"/>
        </w:rPr>
        <w:t xml:space="preserve">Текущую ситуацию характеризуют следующие ключевые аспекты: подстегивающие инфляцию систематические нарушения со стороны предложения, которым предшествовал продолжительный период активной стимулирующей денежно-кредитной политики в ведущих развитых экономиках; перспективы замедления экономического роста; проблемы, стоящие перед странами в связи с ужесточением денежно-кредитной политики, которое потребуется для того, чтобы обуздать инфляцию.</w:t>
      </w:r>
    </w:p>
    <w:p>
      <w:pPr>
        <w:spacing w:after="60"/>
        <w:ind w:firstLine="567"/>
        <w:jc w:val="both"/>
      </w:pPr>
      <w:r>
        <w:rPr>
          <w:rFonts w:ascii="Arial" w:cs="Arial" w:eastAsia="Arial" w:hAnsi="Arial"/>
          <w:sz w:val="24"/>
          <w:szCs w:val="24"/>
        </w:rPr>
        <w:t xml:space="preserve">Сохраняющаяся нестабильность мировой экономики и финансовых рынков после пандемии усугубляется существенным ухудшением геополитической ситуации, сопровождающимся военными действиями на Украине, влиянием дополнительно вводимых санкций и рисков их ужесточения, которые уже нарушили устоявшиеся цепочки поставок продукции и негативно влияют на спрос и предложение, соответственно замедляют восстановление глобальной экономики.</w:t>
      </w:r>
    </w:p>
    <w:p>
      <w:pPr>
        <w:spacing w:after="60"/>
        <w:ind w:firstLine="567"/>
        <w:jc w:val="both"/>
      </w:pPr>
      <w:r>
        <w:rPr>
          <w:rFonts w:ascii="Arial" w:cs="Arial" w:eastAsia="Arial" w:hAnsi="Arial"/>
          <w:sz w:val="24"/>
          <w:szCs w:val="24"/>
        </w:rPr>
        <w:t xml:space="preserve">Экономические последствия очень серьезны, введенные дополнительные беспрецедентные санкции против России - ключевого экономического партнера Кыргызской Республики со стороны США и стран Европейского союза затронули мировую экономику. Во многих странах кризис оказывает значительное негативное воздействие как на инфляцию, так и на экономическую активность на фоне уже повышенного ценового давления. В настоящее время ситуация остается крайне нестабильной, а уровень неопределенности остается высоким.</w:t>
      </w:r>
    </w:p>
    <w:p>
      <w:pPr>
        <w:spacing w:after="60"/>
        <w:ind w:firstLine="567"/>
        <w:jc w:val="both"/>
      </w:pPr>
      <w:r>
        <w:rPr>
          <w:rFonts w:ascii="Arial" w:cs="Arial" w:eastAsia="Arial" w:hAnsi="Arial"/>
          <w:sz w:val="24"/>
          <w:szCs w:val="24"/>
        </w:rPr>
        <w:t xml:space="preserve">На фоне происходящих событий экономисты усугубляют свои прогнозы. Международные финансовые институты пересмотрели среднесрочный прогноз в сторону понижения по всем группам стран, кроме стран - экспортеров сырьевых товаров, которым выгоден рост цен на энергоносители и продовольствие, за исключением России, Украины и Беларуси.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7</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Сравнительный обзор прогнозов международных институтов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процентах)</w:t>
      </w:r>
    </w:p>
    <w:p>
      <w:pPr>
        <w:spacing w:after="6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МВФ:</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Украина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н/д</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ВБ:</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Украина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По мнению экспертов МВФ, темп роста мировой экономики в 2022 году замедлится от ранее прогнозируемого с 4,4% до 3,6%, на 2023 год также понижен - с прежних 3,8% до 3,6%, а экономику РФ ждет снижение до -8,5% в 2022 г. вместо ранее ожидавшегося роста на 2,8% и до -2,3% в 2023 г. вместо роста на 2,1%. Прогноз по Республике Беларусь также неутешительный - ожидается в экономике спад на 6,4%, а в 2023 г. - слабый рост на 0,4%. Ожидается, что экономика Армении и Казахстана также замедлится от ранее прогнозируемого роста 4,5% до 1,5%, от 3,9% до 2,3% соответственно.</w:t>
      </w:r>
    </w:p>
    <w:p>
      <w:pPr>
        <w:spacing w:after="60"/>
        <w:ind w:firstLine="567"/>
        <w:jc w:val="both"/>
      </w:pPr>
      <w:r>
        <w:rPr>
          <w:rFonts w:ascii="Arial" w:cs="Arial" w:eastAsia="Arial" w:hAnsi="Arial"/>
          <w:sz w:val="24"/>
          <w:szCs w:val="24"/>
        </w:rPr>
        <w:t xml:space="preserve">Наиболее пострадавшим регионом с учетом существующих торговых связей и зависимости от российских поставок энергоресурсов может оказаться Европа. МВФ снизил свой прогноз роста ВВП ЕС до 2,8%. Экономика США и Китая продолжит расти, по сравнению с январскими прогнозами оценка роста ВВП упала на 0,3% до 3,7%, на 1,1% до 4,4% соответственно.</w:t>
      </w:r>
    </w:p>
    <w:p>
      <w:pPr>
        <w:spacing w:after="60"/>
        <w:ind w:firstLine="567"/>
        <w:jc w:val="both"/>
      </w:pPr>
      <w:r>
        <w:rPr>
          <w:rFonts w:ascii="Arial" w:cs="Arial" w:eastAsia="Arial" w:hAnsi="Arial"/>
          <w:sz w:val="24"/>
          <w:szCs w:val="24"/>
        </w:rPr>
        <w:t xml:space="preserve">При этом в Китае на пятой сессии Всекитайского собрания народных представителей 13-го созыва поставлена цель: рост ВВП в 2022 году на уровне 5,5%, это рекордно низкие планы по экономическому росту с 1991 года, когда страна только активно вливалась в мировые экономические процессы. Новая политика может означать смещение акцента с обеспечения постоянного роста на поддержание макроэкономической и социальной стабильности. Экономическое развитие поддержат активными инвестициями в развитие инфраструктуры и высокотехнологичных секторов экономики. КНР установлена цель: годовая инфляция на уровне почти 3% на 2022 год, что намного ниже прогноза МВФ по отношению к странам с формирующимся рынком и развивающимся странам, составившего 5,9%.</w:t>
      </w:r>
    </w:p>
    <w:p>
      <w:pPr>
        <w:spacing w:after="60"/>
        <w:ind w:firstLine="567"/>
        <w:jc w:val="both"/>
      </w:pPr>
      <w:r>
        <w:rPr>
          <w:rFonts w:ascii="Arial" w:cs="Arial" w:eastAsia="Arial" w:hAnsi="Arial"/>
          <w:sz w:val="24"/>
          <w:szCs w:val="24"/>
        </w:rPr>
        <w:t xml:space="preserve">Наибольшие потери грозят Украине, которая практически полностью отрезана от мировой торговли: морские порты и аэропорты закрыты и повреждены, многие дороги и мосты повреждены или разрушены. Украина запросила у МВФ экстренное финансирование в размере 1,4 млрд. долл. США и Фонд удовлетворил этот запрос. Экономика Украины в 2022 году, по прогнозам МВФ, сократится на 35% из-за военных действий (падение реального ВВП Украины уже в марте 2022 года составило 45% по сравнению с аналогичным периодом 2021 года).</w:t>
      </w:r>
    </w:p>
    <w:p>
      <w:pPr>
        <w:spacing w:after="60"/>
        <w:ind w:firstLine="567"/>
        <w:jc w:val="both"/>
      </w:pPr>
      <w:r>
        <w:rPr>
          <w:rFonts w:ascii="Arial" w:cs="Arial" w:eastAsia="Arial" w:hAnsi="Arial"/>
          <w:sz w:val="24"/>
          <w:szCs w:val="24"/>
        </w:rPr>
        <w:t xml:space="preserve">Уровень инфляции будет оставаться высоким гораздо дольше, чем ранее предполагали эксперты. Он уже достиг самого высокого показателя за более чем 40 лет. По оценке МВФ, в США в 2022 году он ожидается на уровне 7,7%. ФРС США ужесточила денежно-кредитную политику, по итогам июньского заседания центробанк повысил ключевую процентную ставку по федеральным кредитным средствам (federal funds rate) еще на 0,75 п.п. - до 1,5-1,75%, таких резких шагов по ужесточению монетарной политики не предпринималось с ноября 1994 года. ФРС признала, что инфляция в США высокая и что она останется на повышенном уровне дольше, чем предполагалось ранее. Аналитики полагают, что инфляция в России и Беларуси может превысить 20% уже в 2022 году.</w:t>
      </w:r>
    </w:p>
    <w:p>
      <w:pPr>
        <w:spacing w:after="60"/>
        <w:ind w:firstLine="567"/>
        <w:jc w:val="both"/>
      </w:pPr>
      <w:r>
        <w:rPr>
          <w:rFonts w:ascii="Arial" w:cs="Arial" w:eastAsia="Arial" w:hAnsi="Arial"/>
          <w:sz w:val="24"/>
          <w:szCs w:val="24"/>
        </w:rPr>
        <w:t xml:space="preserve">Армения: Правительство Армении прогнозирует, что экономика страны в 2022 году вырастет на 7% и цель экономического роста следующих трех лет установлена на уровне 7%. Достижению цели в среднесрочной перспективе будет способствовать увеличивающийся в ближайшие 3 года объем капитальных расходов, которые повысятся с запланированных в 2022 году 4,5% ВВП и в 2025 году достигнут порядка 6% ВВП. Инфляция заложена на уровне 4% (± 1,5%). Зафиксированный по результатам 6 месяцев 2022 года высокий показатель экономической активности, который составил 10,2%, позволяет прогнозировать, что год завершится близко к целевому показателю экономического роста в 7%.</w:t>
      </w:r>
    </w:p>
    <w:p>
      <w:pPr>
        <w:spacing w:after="60"/>
        <w:ind w:firstLine="567"/>
        <w:jc w:val="both"/>
      </w:pPr>
      <w:r>
        <w:rPr>
          <w:rFonts w:ascii="Arial" w:cs="Arial" w:eastAsia="Arial" w:hAnsi="Arial"/>
          <w:sz w:val="24"/>
          <w:szCs w:val="24"/>
        </w:rPr>
        <w:t xml:space="preserve">Беларусь: Советом Министров Республики Беларусь определены важнейшие параметры социально-экономического развития на 2022 год, где ВВП должен вырасти на 2,9%, инфляция не должна превысить 6%.</w:t>
      </w:r>
    </w:p>
    <w:p>
      <w:pPr>
        <w:spacing w:after="60"/>
        <w:ind w:firstLine="567"/>
        <w:jc w:val="both"/>
      </w:pPr>
      <w:r>
        <w:rPr>
          <w:rFonts w:ascii="Arial" w:cs="Arial" w:eastAsia="Arial" w:hAnsi="Arial"/>
          <w:sz w:val="24"/>
          <w:szCs w:val="24"/>
        </w:rPr>
        <w:t xml:space="preserve">Казахстан: по прогнозу Министерства национальной экономики, с учетом сложившейся мировой политической и экономической ситуации реальный рост ВВП страны снижен с 3,9% до 2,1%. Номинальный ВВП ожидается в объеме 91,5 трлн. тг, что на 4,5 трлн. тг выше одобренного прогноза. Инфляция определена в коридоре 8-10%. В июне 2022 года Национальный банк Республики Казахстан обновил прогноз экономики, в соответствии с которым рост экономики в Казахстане в 2022 году сложится на уровне 2,8-3,8%.</w:t>
      </w:r>
    </w:p>
    <w:p>
      <w:pPr>
        <w:spacing w:after="60"/>
        <w:ind w:firstLine="567"/>
        <w:jc w:val="both"/>
      </w:pPr>
      <w:r>
        <w:rPr>
          <w:rFonts w:ascii="Arial" w:cs="Arial" w:eastAsia="Arial" w:hAnsi="Arial"/>
          <w:sz w:val="24"/>
          <w:szCs w:val="24"/>
        </w:rPr>
        <w:t xml:space="preserve">Российская Федерация (далее - Россия): по оценке Министерства экономического развития России, с учетом текущей ситуации и возможности санкционного сохранения давления до 2025 года, в 2022 году падение ВВП России составит 7,8%, а в 2023 году - 0,7%. Рост должен возобновиться после двух лет рецессии - на 3,2% в 2024 году и на 2,6% - в 2025 году. Инфляция в 2022 году ожидается на уровне 17,5%, на 2023 год прогнозируется, что темпы роста цен замедлятся до 6,1%, однако в пределы целевого уровня в 4% вернутся лишь в 2024 году. Основные сложности в экономике связаны с нарушением логистических цепочек, необходимостью перенастройки производства и значительным снижением импорта (прогноз на 2022 год на 27% в физическом выражении). В июле 2022 года Центральный банк России пересмотрел прогноз в сторону улучшения и ожидает падения ВВП страны в 2022 году на 4-6% вместо 8-10% по предыдущему апрельскому прогнозу.</w:t>
      </w:r>
    </w:p>
    <w:p>
      <w:pPr>
        <w:spacing w:after="60"/>
        <w:ind w:firstLine="567"/>
        <w:jc w:val="both"/>
      </w:pPr>
      <w:r>
        <w:rPr>
          <w:rFonts w:ascii="Arial" w:cs="Arial" w:eastAsia="Arial" w:hAnsi="Arial"/>
          <w:sz w:val="24"/>
          <w:szCs w:val="24"/>
        </w:rPr>
        <w:t xml:space="preserve">В настоящее время уровень неопределенности остается высоким. При неблагоприятном развитии событий экономики стран, вероятно, столкнутся с дальнейшими последствиями случившегося: простоями на производстве или даже его полной остановкой из-за нехватки комплектующих, задержки или сокращения заработной платы, разорения бизнеса, увольнений, перебоев в снабжении населения и мощного всплеска инфляции.</w:t>
      </w:r>
    </w:p>
    <w:p>
      <w:pPr>
        <w:spacing w:after="60"/>
        <w:ind w:firstLine="567"/>
        <w:jc w:val="both"/>
      </w:pPr>
      <w:r>
        <w:rPr>
          <w:rFonts w:ascii="Arial" w:cs="Arial" w:eastAsia="Arial" w:hAnsi="Arial"/>
          <w:sz w:val="24"/>
          <w:szCs w:val="24"/>
        </w:rPr>
        <w:t xml:space="preserve">Кыргызская Республика, являясь открытой экономикой, также находится под воздействием негативного влияния глобальных процессов. По прогнозу МВФ, пересмотрен темп роста в сторону понижения ранее прогнозируемого роста 5,6% до 2,8%.</w:t>
      </w:r>
    </w:p>
    <w:p>
      <w:pPr>
        <w:spacing w:after="60"/>
        <w:ind w:firstLine="567"/>
        <w:jc w:val="both"/>
      </w:pPr>
      <w:r>
        <w:rPr>
          <w:rFonts w:ascii="Arial" w:cs="Arial" w:eastAsia="Arial" w:hAnsi="Arial"/>
          <w:sz w:val="24"/>
          <w:szCs w:val="24"/>
        </w:rPr>
        <w:t xml:space="preserve">Экономическое развитие в 2022 году и прогнозируемом горизонте (2023-2027 годы) будет строиться на гипотезе продолжения влияния как внешних, так и внутренних факторов.</w:t>
      </w:r>
    </w:p>
    <w:p>
      <w:pPr>
        <w:spacing w:after="60"/>
        <w:ind w:firstLine="567"/>
        <w:jc w:val="both"/>
      </w:pPr>
      <w:r>
        <w:rPr>
          <w:rFonts w:ascii="Arial" w:cs="Arial" w:eastAsia="Arial" w:hAnsi="Arial"/>
          <w:sz w:val="24"/>
          <w:szCs w:val="24"/>
        </w:rPr>
        <w:t xml:space="preserve">Внешние условия:</w:t>
      </w:r>
    </w:p>
    <w:p>
      <w:pPr>
        <w:spacing w:after="60"/>
        <w:ind w:firstLine="567"/>
        <w:jc w:val="both"/>
      </w:pPr>
      <w:r>
        <w:rPr>
          <w:rFonts w:ascii="Arial" w:cs="Arial" w:eastAsia="Arial" w:hAnsi="Arial"/>
          <w:sz w:val="24"/>
          <w:szCs w:val="24"/>
        </w:rPr>
        <w:t xml:space="preserve">1) снижение экономической активности в странах - основных торговых партнерах из-за эскалации геополитической напряженности.</w:t>
      </w:r>
    </w:p>
    <w:p>
      <w:pPr>
        <w:spacing w:after="60"/>
        <w:ind w:firstLine="567"/>
        <w:jc w:val="both"/>
      </w:pPr>
      <w:r>
        <w:rPr>
          <w:rFonts w:ascii="Arial" w:cs="Arial" w:eastAsia="Arial" w:hAnsi="Arial"/>
          <w:sz w:val="24"/>
          <w:szCs w:val="24"/>
        </w:rPr>
        <w:t xml:space="preserve">Введенные с начала февраля 2022 года экономические меры (санкции) против России будут иметь долгосрочные негативные последствия из-за потери доступа к системе SWIFT некоторыми банками, нефтегазового эмбарго ряда стран, заморозки части активов Банка России, ухода с рынка многих иностранных компаний. Данные меры затрагивают широкий перечень отраслей, ключевые позиции экспорта, инвестиции в экономику.</w:t>
      </w:r>
    </w:p>
    <w:p>
      <w:pPr>
        <w:spacing w:after="60"/>
        <w:ind w:firstLine="567"/>
        <w:jc w:val="both"/>
      </w:pPr>
      <w:r>
        <w:rPr>
          <w:rFonts w:ascii="Arial" w:cs="Arial" w:eastAsia="Arial" w:hAnsi="Arial"/>
          <w:sz w:val="24"/>
          <w:szCs w:val="24"/>
        </w:rPr>
        <w:t xml:space="preserve">Учитывая охват ограничений, ожидается замедление экономической активности в России, что, по разным экспертным оценкам, может привести к экономическим потерям. Отдельные финансовые институты в 2022 году прогнозируют падение ВВП России на 12% (JPMorgan), а Институт международных финансов прогнозирует сокращение ВВП на 15% и допускает возможность еще более высокого показателя. По оценке экспертов Всемирного банка, снижение может составить -1,2%, а МВФ прогнозирует -8,5% и падение на 2,5% к концу 2023 года. Инфляция в стране может превысить 20% уже в 2022 году. Экономические издержки от новых санкций для экономики России могут быть частично компенсированы скачком цен на энергоресурсы. Российская экономика входит в фазу масштабной структурной перестройки, которая будет сопровождаться временным, но неизбежным периодом повышенной инфляции.</w:t>
      </w:r>
    </w:p>
    <w:p>
      <w:pPr>
        <w:spacing w:after="60"/>
        <w:ind w:firstLine="567"/>
        <w:jc w:val="both"/>
      </w:pPr>
      <w:r>
        <w:rPr>
          <w:rFonts w:ascii="Arial" w:cs="Arial" w:eastAsia="Arial" w:hAnsi="Arial"/>
          <w:sz w:val="24"/>
          <w:szCs w:val="24"/>
        </w:rPr>
        <w:t xml:space="preserve">Снижение экономического роста в России приводит к снижению деловой активности, сокращению торговых операций и оказывает отрицательное влияние на приток денежных переводов в Кыргызскую Республику и, соответственно, к сокращению объемов потребления, торговли, жилищного строительства и т.д. По оценке Всемирного банка, объемы поступающих в страну денежных переводов сократятся на 33% против ранее прогнозируемого роста объемов переводов из России в 2022 году на уровне 3%. По прогнозу МВФ, объемы денежных переводов сократятся в 2022 году на 25%.</w:t>
      </w:r>
    </w:p>
    <w:p>
      <w:pPr>
        <w:spacing w:after="60"/>
        <w:ind w:firstLine="567"/>
        <w:jc w:val="both"/>
      </w:pPr>
      <w:r>
        <w:rPr>
          <w:rFonts w:ascii="Arial" w:cs="Arial" w:eastAsia="Arial" w:hAnsi="Arial"/>
          <w:sz w:val="24"/>
          <w:szCs w:val="24"/>
        </w:rPr>
        <w:t xml:space="preserve">Снижаются реальные располагаемые доходы в России (по итогам I квартала 2022 года сократились на 1,2%), уровень безработицы в России также вырос. Эксперты предполагают, что в начале лета могут быть резкие скачки реальной безработицы, когда резервы наличных и производственных запасов тех предприятий, которые сейчас приостановили работу в России, будут исчерпаны. Согласно оценке, уровень безработицы к середине 2022 года превысит 7% и станет самым высоким с 2011 года, в 2022 году может превысить 9% впервые за последние 10 лет (Bloomberg аналитики). Соответственно можно ожидать сокращения товарооборота и денежных переводов.</w:t>
      </w:r>
    </w:p>
    <w:p>
      <w:pPr>
        <w:spacing w:after="60"/>
        <w:ind w:firstLine="567"/>
        <w:jc w:val="both"/>
      </w:pPr>
      <w:r>
        <w:rPr>
          <w:rFonts w:ascii="Arial" w:cs="Arial" w:eastAsia="Arial" w:hAnsi="Arial"/>
          <w:sz w:val="24"/>
          <w:szCs w:val="24"/>
        </w:rPr>
        <w:t xml:space="preserve">Ослабление экономической активности в России негативно скажется на занятости и доходах трудовых мигрантов, а также на их возможности отправлять денежные переводы. Вызванное этим снижение уровня располагаемых доходов в сочетании с сохраняющимися высокими темпами инфляции будет оказывать дополнительное социальное давление.</w:t>
      </w:r>
    </w:p>
    <w:p>
      <w:pPr>
        <w:spacing w:after="60"/>
        <w:ind w:firstLine="567"/>
        <w:jc w:val="both"/>
      </w:pPr>
      <w:r>
        <w:rPr>
          <w:rFonts w:ascii="Arial" w:cs="Arial" w:eastAsia="Arial" w:hAnsi="Arial"/>
          <w:sz w:val="24"/>
          <w:szCs w:val="24"/>
        </w:rPr>
        <w:t xml:space="preserve">При длительном сохранении режима принятых международных финансовых санкций (России), перебои с импортными комплектующими изделиями и растущая неопределенность вынудят бизнес искать альтернативных поставщиков, что потребует дополнительных затрат, сократит прибыль отечественных производителей и окажет негативный эффект на бюджет страны;</w:t>
      </w:r>
    </w:p>
    <w:p>
      <w:pPr>
        <w:spacing w:after="60"/>
        <w:ind w:firstLine="567"/>
        <w:jc w:val="both"/>
      </w:pPr>
      <w:r>
        <w:rPr>
          <w:rFonts w:ascii="Arial" w:cs="Arial" w:eastAsia="Arial" w:hAnsi="Arial"/>
          <w:sz w:val="24"/>
          <w:szCs w:val="24"/>
        </w:rPr>
        <w:t xml:space="preserve">2) волатильность на финансовом рынке. Высокая геополитическая напряженность оказывает шоковое воздействие на денежно-кредитную систему стран - партнеров. С начала года произошло значительное ужесточение финансовых условий в большинстве стран мира. На фоне растущей инфляции ожидаемое повышение процентных ставок привело к заметному ужесточению условий в странах с развитой экономикой. Федеральной резервной системой США повышена базовая ставка на 0,75 п.п. - до 1,5-1,75%, такие резкие шаги по ужесточению монетарной политики не принимались с ноября 1994 года. ФРС ухудшен прогноз по росту инфляции в 2022 году с 4,3% до 5,2%. Ожидается, что ставка будет 3,4% к концу 2022 года, 3,8% - к концу 2023 года и 3,4% - к концу 2024 года, согласно медианному прогнозу. Регулятор будет следить за данными, состоянием экономики и стараться снизить инфляцию до 2%. В условиях геополитической неопределенности взаимосвязь между ужесточением внешних финансовых условий и нормализацией денежно-кредитной политики Федеральной резервной системы США (повышение процентной ставки и ожидается более быстрое сокращение баланса) может привести к увеличению риска оттока капитала.</w:t>
      </w:r>
    </w:p>
    <w:p>
      <w:pPr>
        <w:spacing w:after="60"/>
        <w:ind w:firstLine="567"/>
        <w:jc w:val="both"/>
      </w:pPr>
      <w:r>
        <w:rPr>
          <w:rFonts w:ascii="Arial" w:cs="Arial" w:eastAsia="Arial" w:hAnsi="Arial"/>
          <w:sz w:val="24"/>
          <w:szCs w:val="24"/>
        </w:rPr>
        <w:t xml:space="preserve">Санкции, объявленные против Центрального банка России, серьезно ограничивают его доступ к международным резервам для поддержки своей валютно-финансовой системы.</w:t>
      </w:r>
    </w:p>
    <w:p>
      <w:pPr>
        <w:spacing w:after="60"/>
        <w:ind w:firstLine="567"/>
        <w:jc w:val="both"/>
      </w:pPr>
      <w:r>
        <w:rPr>
          <w:rFonts w:ascii="Arial" w:cs="Arial" w:eastAsia="Arial" w:hAnsi="Arial"/>
          <w:sz w:val="24"/>
          <w:szCs w:val="24"/>
        </w:rPr>
        <w:t xml:space="preserve">Учитывая тесные экономические связи Кыргызстана с основными странами - партнерами посредством взаимной торговли и денежных переводов, в марте резко усилилось давление на валютном рынке нашей страны. Обменный курс доллара США к сому доходил до 105 сомов за один доллар США. Для минимизации негативного эффекта внешних шоков на экономику Кыргызской Республики Национальный банк 10 марта увеличил учетную ставку на 400 базисных пунктов и в последующем сохраняет ее на уровне 14,0% (на начало года ставка составляла 8,0%). Также в целях сглаживания резких колебаний обменного курса Национальным банком проведены валютные интервенции по продаже иностранной валюты. С ослаблением давления на валютном рынке вслед за российским рублем обменный курс доллара США к сому стабилизировался и на 1 июля 2022 года составил 79,50 сома за один доллар США;</w:t>
      </w:r>
    </w:p>
    <w:p>
      <w:pPr>
        <w:spacing w:after="60"/>
        <w:ind w:firstLine="567"/>
        <w:jc w:val="both"/>
      </w:pPr>
      <w:r>
        <w:rPr>
          <w:rFonts w:ascii="Arial" w:cs="Arial" w:eastAsia="Arial" w:hAnsi="Arial"/>
          <w:sz w:val="24"/>
          <w:szCs w:val="24"/>
        </w:rPr>
        <w:t xml:space="preserve">3) волатильность на сырьевом, продовольственном рынке.</w:t>
      </w:r>
    </w:p>
    <w:p>
      <w:pPr>
        <w:spacing w:after="60"/>
        <w:ind w:firstLine="567"/>
        <w:jc w:val="both"/>
      </w:pPr>
      <w:r>
        <w:rPr>
          <w:rFonts w:ascii="Arial" w:cs="Arial" w:eastAsia="Arial" w:hAnsi="Arial"/>
          <w:sz w:val="24"/>
          <w:szCs w:val="24"/>
        </w:rPr>
        <w:t xml:space="preserve">Рост цен на энергоносители, вероятнее всего, не исчезнет и продолжит оказывать давление на инфляцию в сочетании с влиянием динамики цен на продовольственные товары.</w:t>
      </w:r>
    </w:p>
    <w:p>
      <w:pPr>
        <w:spacing w:after="60"/>
        <w:ind w:firstLine="567"/>
        <w:jc w:val="both"/>
      </w:pPr>
      <w:r>
        <w:rPr>
          <w:rFonts w:ascii="Arial" w:cs="Arial" w:eastAsia="Arial" w:hAnsi="Arial"/>
          <w:sz w:val="24"/>
          <w:szCs w:val="24"/>
        </w:rPr>
        <w:t xml:space="preserve">Повышаются цены на сельскохозяйственные товары. На долю России и Украины приходится около 30% мирового экспорта пшеницы и 20% мирового экспорта кукурузы. С начала военных действий на Украине цены на зерновые резко выросли. Рост цен на кукурузу приведет к повышению затрат на корма для животных, а впоследствии - на мясо. Дорожают и соевые бобы, Россия - их ведущий производитель. Стоимость удобрений также выросла.</w:t>
      </w:r>
    </w:p>
    <w:p>
      <w:pPr>
        <w:spacing w:after="60"/>
        <w:ind w:firstLine="567"/>
        <w:jc w:val="both"/>
      </w:pPr>
      <w:r>
        <w:rPr>
          <w:rFonts w:ascii="Arial" w:cs="Arial" w:eastAsia="Arial" w:hAnsi="Arial"/>
          <w:sz w:val="24"/>
          <w:szCs w:val="24"/>
        </w:rPr>
        <w:t xml:space="preserve">В мае 2022 года среднее значение Индекса продовольственных цен ФАО составило 157,4 пункта, что на 29,2 пункта (22,8%) выше, чем в соответствующий период 2021 года. Главными факторами такого роста являются введение запрета на экспорт в связи с опасениями относительно состояния культур в ряде ведущих стран - экспортеров, снижение ожидаемых объемов производства на Украине в результате военных действий, а также сохраняющиеся логистические трудности.</w:t>
      </w:r>
    </w:p>
    <w:p>
      <w:pPr>
        <w:spacing w:after="60"/>
        <w:ind w:firstLine="567"/>
        <w:jc w:val="both"/>
      </w:pPr>
      <w:r>
        <w:rPr>
          <w:rFonts w:ascii="Arial" w:cs="Arial" w:eastAsia="Arial" w:hAnsi="Arial"/>
          <w:sz w:val="24"/>
          <w:szCs w:val="24"/>
        </w:rPr>
        <w:t xml:space="preserve">Рост цен на продовольствие приведет к дальнейшему снижению покупательной способности потребителей. Повышение продовольственной инфляции наряду с ростом других цен также может усугубить социальную напряженность в отдельных странах;</w:t>
      </w:r>
    </w:p>
    <w:p>
      <w:pPr>
        <w:spacing w:after="60"/>
        <w:ind w:firstLine="567"/>
        <w:jc w:val="both"/>
      </w:pPr>
      <w:r>
        <w:rPr>
          <w:rFonts w:ascii="Arial" w:cs="Arial" w:eastAsia="Arial" w:hAnsi="Arial"/>
          <w:sz w:val="24"/>
          <w:szCs w:val="24"/>
        </w:rPr>
        <w:t xml:space="preserve">4) международная торговля продолжает демонстрировать снижение объемов, что оказывает сдерживающий эффект на рост мировой экономики и соответственно на восстановление экономической активности. Всемирной торговой организацией (ВТО) понижен прогноз роста мировой торговли в 2022 году с 4,7% (в октябрьской версии) до 3,0%, при этом ожидается рост объема торговли товарами на 3,0% в 2022 г., что ниже предыдущего прогноза в 4,7% и на 3,4% - в 2023 г. На тенденциях в сфере глобальной торговли будут отражаться сбои в логистике, рост цен на сырьевые товары и растущий мировой спрос на экологическую продукцию;</w:t>
      </w:r>
    </w:p>
    <w:p>
      <w:pPr>
        <w:spacing w:after="60"/>
        <w:ind w:firstLine="567"/>
        <w:jc w:val="both"/>
      </w:pPr>
      <w:r>
        <w:rPr>
          <w:rFonts w:ascii="Arial" w:cs="Arial" w:eastAsia="Arial" w:hAnsi="Arial"/>
          <w:sz w:val="24"/>
          <w:szCs w:val="24"/>
        </w:rPr>
        <w:t xml:space="preserve">5) ожидается сокращение потоков инвестиций из-за ослабления деловой уверенности, где некоторое восстановление начнется не раньше 2023 года. Однако прогнозы по восстановлению крайне неопределенные. Все будет зависеть от продолжительности сложившейся геополитической ситуации, влияния санкций на Россию, в том числе отключения российских банков от системы SWIFT, а также снижения совокупного спроса в остальном мире из-за падения делового и потребительского доверия и растущей неопределенности. Ожидается, что в 2022-2023 гг. глобальные потоки прямых иностранных инвестиций (далее - ПИИ) останутся примерно на 25% ниже уровня 2019 года и более чем на 40% ниже пика 2016 года;</w:t>
      </w:r>
    </w:p>
    <w:p>
      <w:pPr>
        <w:spacing w:after="60"/>
        <w:ind w:firstLine="567"/>
        <w:jc w:val="both"/>
      </w:pPr>
      <w:r>
        <w:rPr>
          <w:rFonts w:ascii="Arial" w:cs="Arial" w:eastAsia="Arial" w:hAnsi="Arial"/>
          <w:sz w:val="24"/>
          <w:szCs w:val="24"/>
        </w:rPr>
        <w:t xml:space="preserve">6) новые вспышки заболеваемости COVID-19 также постоянно будут влиять на деловую активность.</w:t>
      </w:r>
    </w:p>
    <w:p>
      <w:pPr>
        <w:spacing w:after="60"/>
        <w:ind w:firstLine="567"/>
        <w:jc w:val="both"/>
      </w:pPr>
      <w:r>
        <w:rPr>
          <w:rFonts w:ascii="Arial" w:cs="Arial" w:eastAsia="Arial" w:hAnsi="Arial"/>
          <w:sz w:val="24"/>
          <w:szCs w:val="24"/>
        </w:rPr>
        <w:t xml:space="preserve">Сохранение геополитической напряженности, волатильность мировых цен на товарно-сырьевых рынках и неопределенность развития мировой экономики негативно влияют на развитие стран региона и национальную экономику.</w:t>
      </w:r>
    </w:p>
    <w:p>
      <w:pPr>
        <w:spacing w:after="60"/>
        <w:ind w:firstLine="567"/>
        <w:jc w:val="both"/>
      </w:pPr>
      <w:r>
        <w:rPr>
          <w:rFonts w:ascii="Arial" w:cs="Arial" w:eastAsia="Arial" w:hAnsi="Arial"/>
          <w:b/>
          <w:bCs/>
          <w:sz w:val="24"/>
          <w:szCs w:val="24"/>
        </w:rPr>
        <w:t xml:space="preserve">Внутренние условия:</w:t>
      </w:r>
    </w:p>
    <w:p>
      <w:pPr>
        <w:spacing w:after="60"/>
        <w:ind w:firstLine="567"/>
        <w:jc w:val="both"/>
      </w:pPr>
      <w:r>
        <w:rPr>
          <w:rFonts w:ascii="Arial" w:cs="Arial" w:eastAsia="Arial" w:hAnsi="Arial"/>
          <w:sz w:val="24"/>
          <w:szCs w:val="24"/>
        </w:rPr>
        <w:t xml:space="preserve">Факторами роста ВВП на среднесрочный период будут:</w:t>
      </w:r>
    </w:p>
    <w:p>
      <w:pPr>
        <w:spacing w:after="60"/>
        <w:ind w:firstLine="567"/>
        <w:jc w:val="both"/>
      </w:pPr>
      <w:r>
        <w:rPr>
          <w:rFonts w:ascii="Arial" w:cs="Arial" w:eastAsia="Arial" w:hAnsi="Arial"/>
          <w:sz w:val="24"/>
          <w:szCs w:val="24"/>
        </w:rPr>
        <w:t xml:space="preserve">- социально-политическая стабильность в стране;</w:t>
      </w:r>
    </w:p>
    <w:p>
      <w:pPr>
        <w:spacing w:after="60"/>
        <w:ind w:firstLine="567"/>
        <w:jc w:val="both"/>
      </w:pPr>
      <w:r>
        <w:rPr>
          <w:rFonts w:ascii="Arial" w:cs="Arial" w:eastAsia="Arial" w:hAnsi="Arial"/>
          <w:sz w:val="24"/>
          <w:szCs w:val="24"/>
        </w:rPr>
        <w:t xml:space="preserve">- восстановление потребительского спроса;</w:t>
      </w:r>
    </w:p>
    <w:p>
      <w:pPr>
        <w:spacing w:after="60"/>
        <w:ind w:firstLine="567"/>
        <w:jc w:val="both"/>
      </w:pPr>
      <w:r>
        <w:rPr>
          <w:rFonts w:ascii="Arial" w:cs="Arial" w:eastAsia="Arial" w:hAnsi="Arial"/>
          <w:sz w:val="24"/>
          <w:szCs w:val="24"/>
        </w:rPr>
        <w:t xml:space="preserve">- усиление работы по импортозамещению, развитие приоритетных секторов с высоким экспортным потенциалом; реализация крупных национальных инвестиционных проектов в энергетике, ирригации, дорожно-транспортной сфере;</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 ЕАЭС и ВТО;</w:t>
      </w:r>
    </w:p>
    <w:p>
      <w:pPr>
        <w:spacing w:after="60"/>
        <w:ind w:firstLine="567"/>
        <w:jc w:val="both"/>
      </w:pPr>
      <w:r>
        <w:rPr>
          <w:rFonts w:ascii="Arial" w:cs="Arial" w:eastAsia="Arial" w:hAnsi="Arial"/>
          <w:sz w:val="24"/>
          <w:szCs w:val="24"/>
        </w:rPr>
        <w:t xml:space="preserve">- создание доступа к финансовым инструментам (активизация работы Российско-Кыргызского Фонда развития (РКФР), открытого акционерного общества "Государственная Ипотечная Компания" (ГИК), Гарантийного фонда (ГФ), проекта "Финансирование сельского хозяйства" (ФСХ) и др.);</w:t>
      </w:r>
    </w:p>
    <w:p>
      <w:pPr>
        <w:spacing w:after="60"/>
        <w:ind w:firstLine="567"/>
        <w:jc w:val="both"/>
      </w:pPr>
      <w:r>
        <w:rPr>
          <w:rFonts w:ascii="Arial" w:cs="Arial" w:eastAsia="Arial" w:hAnsi="Arial"/>
          <w:sz w:val="24"/>
          <w:szCs w:val="24"/>
        </w:rPr>
        <w:t xml:space="preserve">- создание благоприятной бизнес-среды для предпринимательства;</w:t>
      </w:r>
    </w:p>
    <w:p>
      <w:pPr>
        <w:spacing w:after="60"/>
        <w:ind w:firstLine="567"/>
        <w:jc w:val="both"/>
      </w:pPr>
      <w:r>
        <w:rPr>
          <w:rFonts w:ascii="Arial" w:cs="Arial" w:eastAsia="Arial" w:hAnsi="Arial"/>
          <w:sz w:val="24"/>
          <w:szCs w:val="24"/>
        </w:rPr>
        <w:t xml:space="preserve">- принимаемые меры по выводу бизнеса из тени;</w:t>
      </w:r>
    </w:p>
    <w:p>
      <w:pPr>
        <w:spacing w:after="60"/>
        <w:ind w:firstLine="567"/>
        <w:jc w:val="both"/>
      </w:pPr>
      <w:r>
        <w:rPr>
          <w:rFonts w:ascii="Arial" w:cs="Arial" w:eastAsia="Arial" w:hAnsi="Arial"/>
          <w:sz w:val="24"/>
          <w:szCs w:val="24"/>
        </w:rPr>
        <w:t xml:space="preserve">- и др.</w:t>
      </w:r>
    </w:p>
    <w:p>
      <w:pPr>
        <w:spacing w:after="60"/>
        <w:ind w:firstLine="567"/>
        <w:jc w:val="both"/>
      </w:pPr>
      <w:r>
        <w:rPr>
          <w:rFonts w:ascii="Arial" w:cs="Arial" w:eastAsia="Arial" w:hAnsi="Arial"/>
          <w:sz w:val="24"/>
          <w:szCs w:val="24"/>
        </w:rPr>
        <w:t xml:space="preserve">Поддержанию экономического роста будет способствовать проводимая Национальным банком денежно-кредитная политика, направленная на поддержание ценовой стабильности, что будет влиять на экономическую активность.</w:t>
      </w:r>
    </w:p>
    <w:p>
      <w:pPr>
        <w:spacing w:after="60"/>
        <w:ind w:firstLine="567"/>
        <w:jc w:val="both"/>
      </w:pPr>
      <w:r>
        <w:rPr>
          <w:rFonts w:ascii="Arial" w:cs="Arial" w:eastAsia="Arial" w:hAnsi="Arial"/>
          <w:b/>
          <w:bCs/>
          <w:sz w:val="24"/>
          <w:szCs w:val="24"/>
        </w:rPr>
        <w:t xml:space="preserve">Возможные риски:</w:t>
      </w:r>
    </w:p>
    <w:p>
      <w:pPr>
        <w:spacing w:after="60"/>
        <w:ind w:firstLine="567"/>
        <w:jc w:val="both"/>
      </w:pPr>
      <w:r>
        <w:rPr>
          <w:rFonts w:ascii="Arial" w:cs="Arial" w:eastAsia="Arial" w:hAnsi="Arial"/>
          <w:sz w:val="24"/>
          <w:szCs w:val="24"/>
        </w:rPr>
        <w:t xml:space="preserve">1) расширение антироссийских санкций, что негативно может отразиться на экономике России и повлиять через спрос и внешнюю торговлю на национальную экономику:</w:t>
      </w:r>
    </w:p>
    <w:p>
      <w:pPr>
        <w:spacing w:after="60"/>
        <w:ind w:firstLine="567"/>
        <w:jc w:val="both"/>
      </w:pPr>
      <w:r>
        <w:rPr>
          <w:rFonts w:ascii="Arial" w:cs="Arial" w:eastAsia="Arial" w:hAnsi="Arial"/>
          <w:sz w:val="24"/>
          <w:szCs w:val="24"/>
        </w:rPr>
        <w:t xml:space="preserve">- сокращение внешнего спроса и предложения, ухудшение условий торговли со странами - основными торговыми партнерами;</w:t>
      </w:r>
    </w:p>
    <w:p>
      <w:pPr>
        <w:spacing w:after="60"/>
        <w:ind w:firstLine="567"/>
        <w:jc w:val="both"/>
      </w:pPr>
      <w:r>
        <w:rPr>
          <w:rFonts w:ascii="Arial" w:cs="Arial" w:eastAsia="Arial" w:hAnsi="Arial"/>
          <w:sz w:val="24"/>
          <w:szCs w:val="24"/>
        </w:rPr>
        <w:t xml:space="preserve">- замедление экономики и как следствие снижение деловой активности и отсутствие финансирования экономического роста. Осложнение ситуации на мировых финансовых рынках может создать препятствия в поступлении внешних заимствований либо привести к удорожанию стоимости привлекаемых ресурсов;</w:t>
      </w:r>
    </w:p>
    <w:p>
      <w:pPr>
        <w:spacing w:after="60"/>
        <w:ind w:firstLine="567"/>
        <w:jc w:val="both"/>
      </w:pPr>
      <w:r>
        <w:rPr>
          <w:rFonts w:ascii="Arial" w:cs="Arial" w:eastAsia="Arial" w:hAnsi="Arial"/>
          <w:sz w:val="24"/>
          <w:szCs w:val="24"/>
        </w:rPr>
        <w:t xml:space="preserve">- сужение внутреннего спроса из-за замедления экономической активности, обусловленного сокращением притока инвестиций и денежных переводов трудовых мигрантов (за январь-май 2022 года чистый приток денежных переводов остается ниже уровня января-мая 2021 года (чистый приток денежных переводов составил 754,3 млн. долл. США и объем снизился на 3,1%), если до конца года сохранится такая тенденция, то соответственно негативно может повлиять на объемы частного потребления и жилищного строительства);</w:t>
      </w:r>
    </w:p>
    <w:p>
      <w:pPr>
        <w:spacing w:after="60"/>
        <w:ind w:firstLine="567"/>
        <w:jc w:val="both"/>
      </w:pPr>
      <w:r>
        <w:rPr>
          <w:rFonts w:ascii="Arial" w:cs="Arial" w:eastAsia="Arial" w:hAnsi="Arial"/>
          <w:sz w:val="24"/>
          <w:szCs w:val="24"/>
        </w:rPr>
        <w:t xml:space="preserve">- удорожание цен и рост уровня инфляции (поскольку большинство товаров, имеющихся в потребительской корзине, составляют импортные товары), что в свою очередь приведет к увеличению себестоимости затрат в секторах экономики;</w:t>
      </w:r>
    </w:p>
    <w:p>
      <w:pPr>
        <w:spacing w:after="60"/>
        <w:ind w:firstLine="567"/>
        <w:jc w:val="both"/>
      </w:pPr>
      <w:r>
        <w:rPr>
          <w:rFonts w:ascii="Arial" w:cs="Arial" w:eastAsia="Arial" w:hAnsi="Arial"/>
          <w:sz w:val="24"/>
          <w:szCs w:val="24"/>
        </w:rPr>
        <w:t xml:space="preserve">2) нестабильность на фондовых рынках, что отрицательно может сказаться на котировках ценных бумаг и привести к волатильности валют;</w:t>
      </w:r>
    </w:p>
    <w:p>
      <w:pPr>
        <w:spacing w:after="60"/>
        <w:ind w:firstLine="567"/>
        <w:jc w:val="both"/>
      </w:pPr>
      <w:r>
        <w:rPr>
          <w:rFonts w:ascii="Arial" w:cs="Arial" w:eastAsia="Arial" w:hAnsi="Arial"/>
          <w:sz w:val="24"/>
          <w:szCs w:val="24"/>
        </w:rPr>
        <w:t xml:space="preserve">3) неблагоприятный природно-климатический фактор, который может оказать воздействие на развитие агропромышленного комплекса и энергетики (наступление маловодного периода);</w:t>
      </w:r>
    </w:p>
    <w:p>
      <w:pPr>
        <w:spacing w:after="60"/>
        <w:ind w:firstLine="567"/>
        <w:jc w:val="both"/>
      </w:pPr>
      <w:r>
        <w:rPr>
          <w:rFonts w:ascii="Arial" w:cs="Arial" w:eastAsia="Arial" w:hAnsi="Arial"/>
          <w:sz w:val="24"/>
          <w:szCs w:val="24"/>
        </w:rPr>
        <w:t xml:space="preserve">4) зависимость внутреннего рынка от импорта продовольственной группы товаров (мука, растительное масло, сахар, крупы и т.д.), ГСМ; недостаток и высокие цены на отдельные виды социально-значимых товаров;</w:t>
      </w:r>
    </w:p>
    <w:p>
      <w:pPr>
        <w:spacing w:after="60"/>
        <w:ind w:firstLine="567"/>
        <w:jc w:val="both"/>
      </w:pPr>
      <w:r>
        <w:rPr>
          <w:rFonts w:ascii="Arial" w:cs="Arial" w:eastAsia="Arial" w:hAnsi="Arial"/>
          <w:sz w:val="24"/>
          <w:szCs w:val="24"/>
        </w:rPr>
        <w:t xml:space="preserve">5) в структуре освоения инвестиций в основной капитал сократились объемы кредитов банков на 51,3%; средств предприятий и организаций - на 4,6%; иностранных кредитов - на 13,5%, т.е. в нынешних условиях предприниматели/инвесторы занимают выжидательную позицию;</w:t>
      </w:r>
    </w:p>
    <w:p>
      <w:pPr>
        <w:spacing w:after="60"/>
        <w:ind w:firstLine="567"/>
        <w:jc w:val="both"/>
      </w:pPr>
      <w:r>
        <w:rPr>
          <w:rFonts w:ascii="Arial" w:cs="Arial" w:eastAsia="Arial" w:hAnsi="Arial"/>
          <w:sz w:val="24"/>
          <w:szCs w:val="24"/>
        </w:rPr>
        <w:t xml:space="preserve">6) перебои в обеспечении источниками финансирования запланированных капитальных вложений, соответственно вялый рост в строительстве (за 6 месяцев рост всего на 3,4% при очень низкой базе за соответствующий период 2021 г. - 84,4%);</w:t>
      </w:r>
    </w:p>
    <w:p>
      <w:pPr>
        <w:spacing w:after="60"/>
        <w:ind w:firstLine="567"/>
        <w:jc w:val="both"/>
      </w:pPr>
      <w:r>
        <w:rPr>
          <w:rFonts w:ascii="Arial" w:cs="Arial" w:eastAsia="Arial" w:hAnsi="Arial"/>
          <w:sz w:val="24"/>
          <w:szCs w:val="24"/>
        </w:rPr>
        <w:t xml:space="preserve">7) сбои в корреспондентских банковских отношениях и в работе международных платежных систем, обусловленные изоляцией российских банков от западных финансовых систем, могут сдерживать возможности Кыргызской Республики по осуществлению трансграничных платежей в долларах США и евро, а замедление темпов роста может ухудшить качество кредитных портфелей банков (в отдельные месяцы наблюдалось сокращение кредита в экономику: в феврале - 98,9%, апреле - 99,7%);</w:t>
      </w:r>
    </w:p>
    <w:p>
      <w:pPr>
        <w:spacing w:after="60"/>
        <w:ind w:firstLine="567"/>
        <w:jc w:val="both"/>
      </w:pPr>
      <w:r>
        <w:rPr>
          <w:rFonts w:ascii="Arial" w:cs="Arial" w:eastAsia="Arial" w:hAnsi="Arial"/>
          <w:sz w:val="24"/>
          <w:szCs w:val="24"/>
        </w:rPr>
        <w:t xml:space="preserve">8) сокращение объема экспорта золота (за 2021 год - спад в 3,1 раза, за 4 мес. 2022 года - спад в 105,6 раза), несмотря на увеличение объемов производства (за 2021 год увеличился на 1,8%, за 4 мес. 2022 года - на 28,3%), что ухудшает состояние платежного баланса страны;</w:t>
      </w:r>
    </w:p>
    <w:p>
      <w:pPr>
        <w:spacing w:after="60"/>
        <w:ind w:firstLine="567"/>
        <w:jc w:val="both"/>
      </w:pPr>
      <w:r>
        <w:rPr>
          <w:rFonts w:ascii="Arial" w:cs="Arial" w:eastAsia="Arial" w:hAnsi="Arial"/>
          <w:sz w:val="24"/>
          <w:szCs w:val="24"/>
        </w:rPr>
        <w:t xml:space="preserve">9) неустойчивая работа энергетической отрасли (доля в промышленности около 12-13%) из-за природно-климатического фактора, который влияет на приток воды в Токтогульское водохранилище в период вегетации. По итогам 6 месяцев 2022 года фактическая выработка электроэнергии снизилась на 17,1%, такая ситуация подвергает риску функционирование секторов экономики и обеспеченность потребности населения;</w:t>
      </w:r>
    </w:p>
    <w:p>
      <w:pPr>
        <w:spacing w:after="60"/>
        <w:ind w:firstLine="567"/>
        <w:jc w:val="both"/>
      </w:pPr>
      <w:r>
        <w:rPr>
          <w:rFonts w:ascii="Arial" w:cs="Arial" w:eastAsia="Arial" w:hAnsi="Arial"/>
          <w:sz w:val="24"/>
          <w:szCs w:val="24"/>
        </w:rPr>
        <w:t xml:space="preserve">10) высокий уровень неформальной экономики (по данным Национального статистического комитета Кыргызской Республики за 2020 год, составил 20,8% или 125 млрд. сомов);</w:t>
      </w:r>
    </w:p>
    <w:p>
      <w:pPr>
        <w:spacing w:after="60"/>
        <w:ind w:firstLine="567"/>
        <w:jc w:val="both"/>
      </w:pPr>
      <w:r>
        <w:rPr>
          <w:rFonts w:ascii="Arial" w:cs="Arial" w:eastAsia="Arial" w:hAnsi="Arial"/>
          <w:sz w:val="24"/>
          <w:szCs w:val="24"/>
        </w:rPr>
        <w:t xml:space="preserve">11) сохранение высокого уровня государственного долга (по итогам 2021 года отношение государственного долга к ВВП составило 60,33%), который может ограничивать возможности фискального стимулирования, соответственно бюджетный дефицит будет угрожать дальнейшим ростом государственного долга;</w:t>
      </w:r>
    </w:p>
    <w:p>
      <w:pPr>
        <w:spacing w:after="60"/>
        <w:ind w:firstLine="567"/>
        <w:jc w:val="both"/>
      </w:pPr>
      <w:r>
        <w:rPr>
          <w:rFonts w:ascii="Arial" w:cs="Arial" w:eastAsia="Arial" w:hAnsi="Arial"/>
          <w:sz w:val="24"/>
          <w:szCs w:val="24"/>
        </w:rPr>
        <w:t xml:space="preserve">12) увеличение дефицита государственного бюджета Кыргызской Республики вследствие:</w:t>
      </w:r>
    </w:p>
    <w:p>
      <w:pPr>
        <w:spacing w:after="60"/>
        <w:ind w:firstLine="567"/>
        <w:jc w:val="both"/>
      </w:pPr>
      <w:r>
        <w:rPr>
          <w:rFonts w:ascii="Arial" w:cs="Arial" w:eastAsia="Arial" w:hAnsi="Arial"/>
          <w:sz w:val="24"/>
          <w:szCs w:val="24"/>
        </w:rPr>
        <w:t xml:space="preserve">- увеличения расходов на реализацию мер по минимизации последствий резких колебаний обменного курса, недопущению резкого повышения цен на товары, услуги; пополнению государственных запасов продовольствия для обеспечения продовольственной безопасности, поддержке предпринимательства за счет ввода отдельных льгот по налогообложению, кредитованию и др.;</w:t>
      </w:r>
    </w:p>
    <w:p>
      <w:pPr>
        <w:spacing w:after="60"/>
        <w:ind w:firstLine="567"/>
        <w:jc w:val="both"/>
      </w:pPr>
      <w:r>
        <w:rPr>
          <w:rFonts w:ascii="Arial" w:cs="Arial" w:eastAsia="Arial" w:hAnsi="Arial"/>
          <w:sz w:val="24"/>
          <w:szCs w:val="24"/>
        </w:rPr>
        <w:t xml:space="preserve">- увеличения расходов для целевой помощи социально-уязвимым слоям населения (малообеспеченным семьям);</w:t>
      </w:r>
    </w:p>
    <w:p>
      <w:pPr>
        <w:spacing w:after="60"/>
        <w:ind w:firstLine="567"/>
        <w:jc w:val="both"/>
      </w:pPr>
      <w:r>
        <w:rPr>
          <w:rFonts w:ascii="Arial" w:cs="Arial" w:eastAsia="Arial" w:hAnsi="Arial"/>
          <w:sz w:val="24"/>
          <w:szCs w:val="24"/>
        </w:rPr>
        <w:t xml:space="preserve">- сокращения потенциальных кредитных и грантовых поступлений при сохранении прежнего уровня социальных расходов;</w:t>
      </w:r>
    </w:p>
    <w:p>
      <w:pPr>
        <w:spacing w:after="60"/>
        <w:ind w:firstLine="567"/>
        <w:jc w:val="both"/>
      </w:pPr>
      <w:r>
        <w:rPr>
          <w:rFonts w:ascii="Arial" w:cs="Arial" w:eastAsia="Arial" w:hAnsi="Arial"/>
          <w:sz w:val="24"/>
          <w:szCs w:val="24"/>
        </w:rPr>
        <w:t xml:space="preserve">- роста объемов внешнего государственного долга из-за замедления деловой активности и высокой волатильности на финансовом рынке;</w:t>
      </w:r>
    </w:p>
    <w:p>
      <w:pPr>
        <w:spacing w:after="60"/>
        <w:ind w:firstLine="567"/>
        <w:jc w:val="both"/>
      </w:pPr>
      <w:r>
        <w:rPr>
          <w:rFonts w:ascii="Arial" w:cs="Arial" w:eastAsia="Arial" w:hAnsi="Arial"/>
          <w:sz w:val="24"/>
          <w:szCs w:val="24"/>
        </w:rPr>
        <w:t xml:space="preserve">13) сохранение отдельных таможенных барьеров и т.д.</w:t>
      </w:r>
    </w:p>
    <w:p>
      <w:pPr>
        <w:spacing w:after="60"/>
        <w:ind w:firstLine="567"/>
        <w:jc w:val="both"/>
      </w:pPr>
      <w:r>
        <w:rPr>
          <w:rFonts w:ascii="Arial" w:cs="Arial" w:eastAsia="Arial" w:hAnsi="Arial"/>
          <w:sz w:val="24"/>
          <w:szCs w:val="24"/>
        </w:rPr>
        <w:t xml:space="preserve">Очень много изменчивых факторов влияют на нынешнюю экономическую ситуацию и это девальвирует точность прогнозов.</w:t>
      </w:r>
    </w:p>
    <w:p>
      <w:pPr>
        <w:spacing w:after="120"/>
        <w:jc w:val="both"/>
      </w:pPr>
      <w:r>
        <w:rPr>
          <w:rFonts w:ascii="Arial" w:cs="Arial" w:eastAsia="Arial" w:hAnsi="Arial"/>
          <w:sz w:val="24"/>
          <w:szCs w:val="24"/>
        </w:rPr>
        <w:t xml:space="preserve">r</w:t>
      </w:r>
      <w:r>
        <w:rPr>
          <w:rFonts w:ascii="Arial" w:cs="Arial" w:eastAsia="Arial" w:hAnsi="Arial"/>
          <w:sz w:val="24"/>
          <w:szCs w:val="24"/>
        </w:rPr>
        <w:t xml:space="preserve">4:4. Тенденции на основных мировых товарных рынках (продовольствие, золото, нефть) </w:t>
      </w:r>
    </w:p>
    <w:p>
      <w:pPr>
        <w:spacing w:after="200" w:before="200"/>
        <w:jc w:val="center"/>
      </w:pPr>
      <w:r>
        <w:rPr>
          <w:rFonts w:ascii="Arial" w:cs="Arial" w:eastAsia="Arial" w:hAnsi="Arial"/>
          <w:b/>
          <w:bCs/>
          <w:sz w:val="32"/>
          <w:szCs w:val="32"/>
        </w:rPr>
        <w:t xml:space="preserve">4. Тенденции на основных мировых товарных рынках (продовольствие, золото, нефть)</w:t>
      </w:r>
    </w:p>
    <w:p>
      <w:pPr>
        <w:spacing w:after="60" w:before="200"/>
        <w:ind w:firstLine="567"/>
        <w:jc w:val="both"/>
      </w:pPr>
      <w:r>
        <w:rPr>
          <w:rFonts w:ascii="Arial" w:cs="Arial" w:eastAsia="Arial" w:hAnsi="Arial"/>
          <w:b/>
          <w:bCs/>
          <w:sz w:val="24"/>
          <w:szCs w:val="24"/>
        </w:rPr>
        <w:t xml:space="preserve">Мировые продовольственные рынки</w:t>
      </w:r>
    </w:p>
    <w:p>
      <w:pPr>
        <w:spacing w:after="60"/>
        <w:ind w:firstLine="567"/>
        <w:jc w:val="both"/>
      </w:pPr>
      <w:r>
        <w:rPr>
          <w:rFonts w:ascii="Arial" w:cs="Arial" w:eastAsia="Arial" w:hAnsi="Arial"/>
          <w:sz w:val="24"/>
          <w:szCs w:val="24"/>
        </w:rPr>
        <w:t xml:space="preserve">В докладе Продовольственной и сельскохозяйственной организации Организации Объединенных Наций (ФАО) и Организации экономического сотрудничества и развития (ОЭСР) отмечается, что глобальный агропродовольственный сектор в предстоящее десятилетие столкнется с фундаментальными проблемами, в частности, необходимость ликвидации голода, постоянно растущее население, влияние климатического кризиса и экономические последствия и перебои в поставках продовольствия, связанные с военными действиями на Украине.</w:t>
      </w:r>
    </w:p>
    <w:p>
      <w:pPr>
        <w:spacing w:after="60"/>
        <w:ind w:firstLine="567"/>
        <w:jc w:val="both"/>
      </w:pPr>
      <w:r>
        <w:rPr>
          <w:rFonts w:ascii="Arial" w:cs="Arial" w:eastAsia="Arial" w:hAnsi="Arial"/>
          <w:sz w:val="24"/>
          <w:szCs w:val="24"/>
        </w:rPr>
        <w:t xml:space="preserve">Ожидается, что в 2022 году впервые за четыре года снизятся объемы мирового производства основных зерновых культур, их мировое потребление также сократится впервые за 20 лет. Ожидается, что объемы использования зерновых культур для непосредственного потребления в пищу не снизятся, так как сокращение общего потребления, по прогнозам, произойдет за счет уменьшения объемов пшеницы, фуражного зерна и риса, используемых в качестве корма.</w:t>
      </w:r>
    </w:p>
    <w:p>
      <w:pPr>
        <w:spacing w:after="60"/>
        <w:ind w:firstLine="567"/>
        <w:jc w:val="both"/>
      </w:pPr>
      <w:r>
        <w:rPr>
          <w:rFonts w:ascii="Arial" w:cs="Arial" w:eastAsia="Arial" w:hAnsi="Arial"/>
          <w:sz w:val="24"/>
          <w:szCs w:val="24"/>
        </w:rPr>
        <w:t xml:space="preserve">Мировые запасы пшеницы в 2022 году увеличатся незначительно, в основном за счет ожидаемого роста запасов в Китае, Российской Федерации и на Украине.</w:t>
      </w:r>
    </w:p>
    <w:p>
      <w:pPr>
        <w:spacing w:after="60"/>
        <w:ind w:firstLine="567"/>
        <w:jc w:val="both"/>
      </w:pPr>
      <w:r>
        <w:rPr>
          <w:rFonts w:ascii="Arial" w:cs="Arial" w:eastAsia="Arial" w:hAnsi="Arial"/>
          <w:sz w:val="24"/>
          <w:szCs w:val="24"/>
        </w:rPr>
        <w:t xml:space="preserve">По прогнозам, объемы производства и использования кукурузы в мире установят новый рекорд, что связано с наращиванием производства этанола в Бразилии и США, а также технического крахмала в Китае. Согласно оценкам, мировое потребление растительных масел будет опережать производство, несмотря на ожидаемое нормирование спроса.</w:t>
      </w:r>
    </w:p>
    <w:p>
      <w:pPr>
        <w:spacing w:after="60"/>
        <w:ind w:firstLine="567"/>
        <w:jc w:val="both"/>
      </w:pPr>
      <w:r>
        <w:rPr>
          <w:rFonts w:ascii="Arial" w:cs="Arial" w:eastAsia="Arial" w:hAnsi="Arial"/>
          <w:sz w:val="24"/>
          <w:szCs w:val="24"/>
        </w:rPr>
        <w:t xml:space="preserve">В Аргентине, Европейском союзе и Соединенных Штатах Америки ожидается сокращение производства мяса, однако объемы мирового производства, как ожидается, увеличатся на 1,4%, в частности, за счет увеличения объемов производства свинины в Китае на 8%.</w:t>
      </w:r>
    </w:p>
    <w:p>
      <w:pPr>
        <w:spacing w:after="60"/>
        <w:ind w:firstLine="567"/>
        <w:jc w:val="both"/>
      </w:pPr>
      <w:r>
        <w:rPr>
          <w:rFonts w:ascii="Arial" w:cs="Arial" w:eastAsia="Arial" w:hAnsi="Arial"/>
          <w:sz w:val="24"/>
          <w:szCs w:val="24"/>
        </w:rPr>
        <w:t xml:space="preserve">Согласно прогнозам, объемы мирового производства молока будут расти медленнее, чем в предыдущие годы, по причине сокращения поголовья стада молочного скота и снижения нормы прибыли в нескольких основных регионах - производителях, а объемы торговли им могут сократиться по сравнению с высокими показателями 2021 года.</w:t>
      </w:r>
    </w:p>
    <w:p>
      <w:pPr>
        <w:spacing w:after="60"/>
        <w:ind w:firstLine="567"/>
        <w:jc w:val="both"/>
      </w:pPr>
      <w:r>
        <w:rPr>
          <w:rFonts w:ascii="Arial" w:cs="Arial" w:eastAsia="Arial" w:hAnsi="Arial"/>
          <w:sz w:val="24"/>
          <w:szCs w:val="24"/>
        </w:rPr>
        <w:t xml:space="preserve">Ожидается, что объемы мирового производства сахара увеличатся после трехлетнего спада, что будет обусловлено наращиванием производства в Индии, Таиланде и Европейском Союзе.</w:t>
      </w:r>
    </w:p>
    <w:p>
      <w:pPr>
        <w:spacing w:after="60"/>
        <w:ind w:firstLine="567"/>
        <w:jc w:val="both"/>
      </w:pPr>
      <w:r>
        <w:rPr>
          <w:rFonts w:ascii="Arial" w:cs="Arial" w:eastAsia="Arial" w:hAnsi="Arial"/>
          <w:sz w:val="24"/>
          <w:szCs w:val="24"/>
        </w:rPr>
        <w:t xml:space="preserve">Кроме роста цен на продовольствие, повышения индекса продовольственных цен ФАО, который уже близок к историческому максимуму, значительного роста цен на некоторые основные продукты питания уже в прошлом году, сельскохозяйственный сектор вынужден ограничивать предложение из-за роста производственных затрат, в частности, стоимости удобрений и топлива, что может привести к дальнейшему росту цен на продовольствие.</w:t>
      </w:r>
    </w:p>
    <w:p>
      <w:pPr>
        <w:spacing w:after="60"/>
        <w:ind w:firstLine="567"/>
        <w:jc w:val="both"/>
      </w:pPr>
      <w:r>
        <w:rPr>
          <w:rFonts w:ascii="Arial" w:cs="Arial" w:eastAsia="Arial" w:hAnsi="Arial"/>
          <w:sz w:val="24"/>
          <w:szCs w:val="24"/>
        </w:rPr>
        <w:t xml:space="preserve">В мае среднее значение индекса цен на зерновые ФАО составило 173,4 пункта, что является новым рекордом и на 39,7 пункта (29,7%) выше показателя прошлого года. В силу таких факторов, как дальнейшее сокращение предложения и неопределенность на рынках, особенно пшеницы, кукурузы и ячменя, а также роста цен на энергоресурсы и других факторов производства, мировые цены на зерновые, по оценкам экспертов, вероятно будут оставаться на высоком уровне по меньшей мере в первой половине сезона 2022-2023 годов.</w:t>
      </w:r>
    </w:p>
    <w:p>
      <w:pPr>
        <w:spacing w:after="60" w:before="200"/>
        <w:ind w:firstLine="567"/>
        <w:jc w:val="both"/>
      </w:pPr>
      <w:r>
        <w:rPr>
          <w:rFonts w:ascii="Arial" w:cs="Arial" w:eastAsia="Arial" w:hAnsi="Arial"/>
          <w:b/>
          <w:bCs/>
          <w:sz w:val="24"/>
          <w:szCs w:val="24"/>
        </w:rPr>
        <w:t xml:space="preserve">Мировой рынок нефти</w:t>
      </w:r>
    </w:p>
    <w:p>
      <w:pPr>
        <w:spacing w:after="60"/>
        <w:ind w:firstLine="567"/>
        <w:jc w:val="both"/>
      </w:pPr>
      <w:r>
        <w:rPr>
          <w:rFonts w:ascii="Arial" w:cs="Arial" w:eastAsia="Arial" w:hAnsi="Arial"/>
          <w:sz w:val="24"/>
          <w:szCs w:val="24"/>
        </w:rPr>
        <w:t xml:space="preserve">Добыча нефти(2) и жидких углеводородов в мире в 2022 г. увеличится на 4,51 млн. барр./сутки - до 100,08 млн. барр./сутки, в 2023 г. - на 2,02 млн. барр./сутки - до 102,1 млн. барр./сутки. При этом рост будет обеспечен как странами ОПЕК, так и странами вне ОПЕК. В данной оценке учтено решение министерской встречи ОПЕК+ 2 июня 2022 г. об ускоренном восстановлении добычи. Однако, по оценке, ожидается снижение добычи жидких углеводородов в России из-за введенного 6-го пакета санкций ЕС с отложенным частичным эмбарго на российскую нефть и нефтепродукты (запрет на импорт сырой нефти по морю через 6 месяцев, нефтепродуктов - через 8 месяцев), что создает риски роста цены на нефть.</w:t>
      </w:r>
    </w:p>
    <w:p>
      <w:pPr>
        <w:spacing w:after="60"/>
        <w:ind w:firstLine="567"/>
        <w:jc w:val="both"/>
      </w:pPr>
      <w:r>
        <w:rPr>
          <w:rFonts w:ascii="Arial" w:cs="Arial" w:eastAsia="Arial" w:hAnsi="Arial"/>
          <w:sz w:val="24"/>
          <w:szCs w:val="24"/>
        </w:rPr>
        <w:t xml:space="preserve">В 2022 г. ожидается рост спроса на нефть в мире на 2,28 млн. барр./сутки по сравнению с 2021 г. - до 99,61 млн. барр./сутки. В 2023 г. спрос вырастет еще на 1,69 млн. барр./сутки в годовом сравнении и составит 101,32 млн. барр./сутки.</w:t>
      </w:r>
    </w:p>
    <w:p>
      <w:pPr>
        <w:spacing w:after="60"/>
        <w:ind w:firstLine="567"/>
        <w:jc w:val="both"/>
      </w:pPr>
      <w:r>
        <w:rPr>
          <w:rFonts w:ascii="Arial" w:cs="Arial" w:eastAsia="Arial" w:hAnsi="Arial"/>
          <w:sz w:val="24"/>
          <w:szCs w:val="24"/>
        </w:rPr>
        <w:t xml:space="preserve">Увеличение спроса исходит из оценок роста мирового ВВП в 2022-2023 гг. Кроме того, спрос на нефть растет из-за резкого взлета цен на газ, сбоев в работе возобновляемых источников энергии, и некоторые потребители переходят на альтернативные виды топлива, включая нефтепродукты.</w:t>
      </w:r>
    </w:p>
    <w:p>
      <w:pPr>
        <w:spacing w:after="60"/>
        <w:ind w:firstLine="567"/>
        <w:jc w:val="both"/>
      </w:pPr>
      <w:r>
        <w:rPr>
          <w:rFonts w:ascii="Arial" w:cs="Arial" w:eastAsia="Arial" w:hAnsi="Arial"/>
          <w:sz w:val="24"/>
          <w:szCs w:val="24"/>
        </w:rPr>
        <w:t xml:space="preserve">В настоящее время присутствуют факторы неопределенности, которые могут повлиять на баланс спроса и предложения на мировом рынке нефти. На повышение цен на энергоресурсы повлияли военные действия на Украине, санкции против России и последовавшие перебои в производстве и поставках сырья.</w:t>
      </w:r>
    </w:p>
    <w:p>
      <w:pPr>
        <w:spacing w:after="60"/>
        <w:ind w:firstLine="567"/>
        <w:jc w:val="both"/>
      </w:pPr>
      <w:r>
        <w:rPr>
          <w:rFonts w:ascii="Arial" w:cs="Arial" w:eastAsia="Arial" w:hAnsi="Arial"/>
          <w:sz w:val="24"/>
          <w:szCs w:val="24"/>
        </w:rPr>
        <w:t xml:space="preserve">С начала года цены на сырьевые товары резко выросли: стоимость барреля нефти подскочила на 41,3% - до 111,63 долл. США (на 1 июля 2022 г.) и если цены поднимутся еще выше этого уровня, это грозит дальнейшим разгоном инфляции.</w:t>
      </w:r>
    </w:p>
    <w:p>
      <w:pPr>
        <w:spacing w:after="60"/>
        <w:ind w:firstLine="567"/>
        <w:jc w:val="both"/>
      </w:pPr>
      <w:r>
        <w:rPr>
          <w:rFonts w:ascii="Arial" w:cs="Arial" w:eastAsia="Arial" w:hAnsi="Arial"/>
          <w:sz w:val="24"/>
          <w:szCs w:val="24"/>
        </w:rPr>
        <w:t xml:space="preserve">Рост цен на энергоносители, вероятнее всего, не исчезнет и продолжится. По оценкам экспертов, такая ситуация будет сохраняться пока не снизится геополитическая напряженность.</w:t>
      </w:r>
    </w:p>
    <w:p>
      <w:pPr>
        <w:spacing w:after="60"/>
        <w:ind w:firstLine="567"/>
        <w:jc w:val="both"/>
      </w:pPr>
      <w:r>
        <w:rPr>
          <w:rFonts w:ascii="Arial" w:cs="Arial" w:eastAsia="Arial" w:hAnsi="Arial"/>
          <w:sz w:val="24"/>
          <w:szCs w:val="24"/>
        </w:rPr>
        <w:t xml:space="preserve">Международный валютный фонд повысил прогноз средней цены нефти, предполагаемая цена в 2022 году составит 106,83 долл. США/барр., в 2023 году - 92,63 долл. США/барр., и ожидает роста цен на нефть на 54,7% в годовом сравнении и снижения на 13,3% в 2023 году.</w:t>
      </w:r>
    </w:p>
    <w:p>
      <w:pPr>
        <w:spacing w:after="60"/>
        <w:ind w:firstLine="567"/>
        <w:jc w:val="both"/>
      </w:pPr>
      <w:r>
        <w:rPr>
          <w:rFonts w:ascii="Arial" w:cs="Arial" w:eastAsia="Arial" w:hAnsi="Arial"/>
          <w:sz w:val="24"/>
          <w:szCs w:val="24"/>
        </w:rPr>
        <w:t xml:space="preserve">Аналитики Всемирного банка также пересмотрели в сторону увеличения свои прогнозы относительно цен на нефть в 2022 и 2023 годах. Согласно обновленному прогнозу, в 2022 году средняя цена барреля нефти составит около 100 долл. за баррель, что на 24 долл. больше, чем ожидалось ранее, при этом полагают, что стоимость нефти в отдельные моменты может вплотную приближаться к 140 долл. В 2023 году стоимость нефти может повышаться примерно до 90 долл.</w:t>
      </w:r>
    </w:p>
    <w:p>
      <w:pPr>
        <w:spacing w:after="60"/>
        <w:ind w:firstLine="567"/>
        <w:jc w:val="both"/>
      </w:pPr>
      <w:r>
        <w:rPr>
          <w:rFonts w:ascii="Arial" w:cs="Arial" w:eastAsia="Arial" w:hAnsi="Arial"/>
          <w:sz w:val="24"/>
          <w:szCs w:val="24"/>
        </w:rPr>
        <w:t xml:space="preserve">Управление энергетической информации Министерства энергетики США (EIA) скорректировало прогноз цены на нефть марки Brent на 2022-2023 гг. На 2022 год прогноз стоимости понижен с 103,37 до 103,35 долл. за баррель. На 2023 год цена выросла с 92,57 долл. до 97,24 долл. за баррель.</w:t>
      </w:r>
    </w:p>
    <w:p>
      <w:pPr>
        <w:spacing w:after="60"/>
        <w:ind w:firstLine="567"/>
        <w:jc w:val="both"/>
      </w:pPr>
      <w:r>
        <w:rPr>
          <w:rFonts w:ascii="Arial" w:cs="Arial" w:eastAsia="Arial" w:hAnsi="Arial"/>
          <w:sz w:val="24"/>
          <w:szCs w:val="24"/>
        </w:rPr>
        <w:t xml:space="preserve">В целом цена на нефть в среднесрочном периоде в среднем прогнозируется в диапазоне 100,0-115,0 долл. США за баррель.</w:t>
      </w:r>
    </w:p>
    <w:p>
      <w:pPr>
        <w:spacing w:after="60"/>
        <w:ind w:firstLine="567"/>
        <w:jc w:val="both"/>
      </w:pPr>
      <w:r>
        <w:rPr>
          <w:rFonts w:ascii="Arial" w:cs="Arial" w:eastAsia="Arial" w:hAnsi="Arial"/>
          <w:sz w:val="24"/>
          <w:szCs w:val="24"/>
        </w:rPr>
        <w:t xml:space="preserve">Однако прогноз в значительной степени будет зависеть от будущих производственных решений ОПЕК+, ситуации с поставками нефти из России, реакции на более высокую цену на нефть, добычи сланцев в США и темпов роста спроса на нефть.</w:t>
      </w:r>
    </w:p>
    <w:p>
      <w:pPr>
        <w:spacing w:after="60" w:before="200"/>
        <w:ind w:firstLine="567"/>
        <w:jc w:val="both"/>
      </w:pPr>
      <w:r>
        <w:rPr>
          <w:rFonts w:ascii="Arial" w:cs="Arial" w:eastAsia="Arial" w:hAnsi="Arial"/>
          <w:b/>
          <w:bCs/>
          <w:sz w:val="24"/>
          <w:szCs w:val="24"/>
        </w:rPr>
        <w:t xml:space="preserve">Мировой рынок золота</w:t>
      </w:r>
    </w:p>
    <w:p>
      <w:pPr>
        <w:spacing w:after="60"/>
        <w:ind w:firstLine="567"/>
        <w:jc w:val="both"/>
      </w:pPr>
      <w:r>
        <w:rPr>
          <w:rFonts w:ascii="Arial" w:cs="Arial" w:eastAsia="Arial" w:hAnsi="Arial"/>
          <w:sz w:val="24"/>
          <w:szCs w:val="24"/>
        </w:rPr>
        <w:t xml:space="preserve">Цены на золото и другие драгоценные металлы значительно выросли, поскольку многие инвесторы провели ребалансировку своих портфелей, обратившись к защитным активам.</w:t>
      </w:r>
    </w:p>
    <w:p>
      <w:pPr>
        <w:spacing w:after="60"/>
        <w:ind w:firstLine="567"/>
        <w:jc w:val="both"/>
      </w:pPr>
      <w:r>
        <w:rPr>
          <w:rFonts w:ascii="Arial" w:cs="Arial" w:eastAsia="Arial" w:hAnsi="Arial"/>
          <w:sz w:val="24"/>
          <w:szCs w:val="24"/>
        </w:rPr>
        <w:t xml:space="preserve">Ключевым фактором, влияющим на курс золота, выступает укрепление доллара США, в котором номинировано большинство мировых коммодити. Политика Федерального резерва США (поднял ключевую ставку на 75 базисных пунктов) направлена на усиление американской валюты ради борьбы с инфляцией. Однако параллельно этому быстрый рост цен приводит к росту спроса на защитные активы, к которым относится в первую очередь драгоценный металл.</w:t>
      </w:r>
    </w:p>
    <w:p>
      <w:pPr>
        <w:spacing w:after="60"/>
        <w:ind w:firstLine="567"/>
        <w:jc w:val="both"/>
      </w:pPr>
      <w:r>
        <w:rPr>
          <w:rFonts w:ascii="Arial" w:cs="Arial" w:eastAsia="Arial" w:hAnsi="Arial"/>
          <w:sz w:val="24"/>
          <w:szCs w:val="24"/>
        </w:rPr>
        <w:t xml:space="preserve">Золото - отличный актив для бегства капитала в случае продолжительной стагфляции, особенно в условиях сокращения физического предложения. С одной стороны, это связано с трудностями, с которыми сталкиваются горнодобывающие компании, которые одна за другой объявляют о будущем сокращении производства. В Южной Африке, например, добыча золота почти на 30% ниже, чем в 2021 году. С другой стороны, текущая геополитическая напряженность также может серьезно ограничить предложение физического золота. Страны G7 приняли решение о бойкоте золота из России, что закрывает им доступ к золоту, добытому или переработанному в РФ. Бойкот создает дефицит предложения, что приводит к росту цен. Торговые барьеры и контроль над ценами усиливают инфляцию и повышают риск рецессии, особенно в Европе.</w:t>
      </w:r>
    </w:p>
    <w:p>
      <w:pPr>
        <w:spacing w:after="60"/>
        <w:ind w:firstLine="567"/>
        <w:jc w:val="both"/>
      </w:pPr>
      <w:r>
        <w:rPr>
          <w:rFonts w:ascii="Arial" w:cs="Arial" w:eastAsia="Arial" w:hAnsi="Arial"/>
          <w:sz w:val="24"/>
          <w:szCs w:val="24"/>
        </w:rPr>
        <w:t xml:space="preserve">Рейтинговое агентство Fitch повысило прогноз цены золота на 2022 год с 1700 долл. до 1900 долл. за унцию. На 2023 год прогноз был изменен с 1650 долл. до 1800 долл. Факторами изменения цены золота Fitch считает военные действия на Украине, монетарную политику ФРС США, доходность казначейских облигаций и укрепление доллара.</w:t>
      </w:r>
    </w:p>
    <w:p>
      <w:pPr>
        <w:spacing w:after="60"/>
        <w:ind w:firstLine="567"/>
        <w:jc w:val="both"/>
      </w:pPr>
      <w:r>
        <w:rPr>
          <w:rFonts w:ascii="Arial" w:cs="Arial" w:eastAsia="Arial" w:hAnsi="Arial"/>
          <w:sz w:val="24"/>
          <w:szCs w:val="24"/>
        </w:rPr>
        <w:t xml:space="preserve">Агентство прогнозирования экономики APECON предсказывает, что к концу декабря 2022 года унция золота будет стоить около 1818 долл., а к концу 2025 года - примерно 2532 долл.</w:t>
      </w:r>
    </w:p>
    <w:p>
      <w:pPr>
        <w:spacing w:after="60"/>
        <w:ind w:firstLine="567"/>
        <w:jc w:val="both"/>
      </w:pPr>
      <w:r>
        <w:rPr>
          <w:rFonts w:ascii="Arial" w:cs="Arial" w:eastAsia="Arial" w:hAnsi="Arial"/>
          <w:sz w:val="24"/>
          <w:szCs w:val="24"/>
        </w:rPr>
        <w:t xml:space="preserve">Долгосрочный прогноз цен на золото канадского банка Scotiabank указывает на то, что в среднем в 2022 году золото будет стоить 1850 долл. за унцию, а в 2023 году оно упадет до 1700 долл. за унцию.</w:t>
      </w:r>
    </w:p>
    <w:p>
      <w:pPr>
        <w:spacing w:after="60"/>
        <w:ind w:firstLine="567"/>
        <w:jc w:val="both"/>
      </w:pPr>
      <w:r>
        <w:rPr>
          <w:rFonts w:ascii="Arial" w:cs="Arial" w:eastAsia="Arial" w:hAnsi="Arial"/>
          <w:sz w:val="24"/>
          <w:szCs w:val="24"/>
        </w:rPr>
        <w:t xml:space="preserve">Согласно прогнозу Goldman Sachs, в результате мировой рецессии стоимость золота может вырасти на 32% до 2500 долл. за унцию.</w:t>
      </w:r>
    </w:p>
    <w:p>
      <w:pPr>
        <w:spacing w:after="60"/>
        <w:ind w:firstLine="567"/>
        <w:jc w:val="both"/>
      </w:pPr>
      <w:r>
        <w:rPr>
          <w:rFonts w:ascii="Arial" w:cs="Arial" w:eastAsia="Arial" w:hAnsi="Arial"/>
          <w:sz w:val="24"/>
          <w:szCs w:val="24"/>
        </w:rPr>
        <w:t xml:space="preserve">В целом цена на золото в среднесрочном периоде в среднем оценивается в диапазоне 1800-2200 долл. США за унцию.</w:t>
      </w:r>
    </w:p>
    <w:p>
      <w:pPr>
        <w:spacing w:after="60"/>
        <w:ind w:firstLine="567"/>
        <w:jc w:val="both"/>
      </w:pPr>
      <w:r>
        <w:rPr>
          <w:rFonts w:ascii="Arial" w:cs="Arial" w:eastAsia="Arial" w:hAnsi="Arial"/>
          <w:sz w:val="24"/>
          <w:szCs w:val="24"/>
        </w:rPr>
        <w:t xml:space="preserve">Последствия обострения геополитической ситуации в среднесрочной перспективе будут остро ощущаться практически во всем мире. Восстановление мировой экономики будет зависеть от того, насколько будут обеспечены инвестиции в экономическую, социальную и климатическую устойчивость в мире.</w:t>
      </w:r>
    </w:p>
    <w:p>
      <w:pPr>
        <w:spacing w:after="60"/>
        <w:ind w:firstLine="567"/>
        <w:jc w:val="both"/>
      </w:pPr>
      <w:r>
        <w:rPr>
          <w:rFonts w:ascii="Arial" w:cs="Arial" w:eastAsia="Arial" w:hAnsi="Arial"/>
          <w:sz w:val="24"/>
          <w:szCs w:val="24"/>
        </w:rPr>
        <w:t xml:space="preserve">В течение рассматриваемых периодов перспективы развития мировой экономики варьируются в интервале 3,0%-4,0%.</w:t>
      </w:r>
    </w:p>
    <w:p>
      <w:pPr>
        <w:spacing w:after="200" w:before="200"/>
        <w:jc w:val="center"/>
      </w:pPr>
      <w:r>
        <w:rPr>
          <w:rFonts w:ascii="Arial" w:cs="Arial" w:eastAsia="Arial" w:hAnsi="Arial"/>
          <w:b/>
          <w:bCs/>
          <w:sz w:val="24"/>
          <w:szCs w:val="24"/>
        </w:rPr>
        <w:t xml:space="preserve">5. Макроэкономические показатели, ожидаемые в 2022 году</w:t>
      </w:r>
    </w:p>
    <w:p>
      <w:pPr>
        <w:spacing w:after="60"/>
        <w:ind w:firstLine="567"/>
        <w:jc w:val="both"/>
      </w:pPr>
      <w:r>
        <w:rPr>
          <w:rFonts w:ascii="Arial" w:cs="Arial" w:eastAsia="Arial" w:hAnsi="Arial"/>
          <w:sz w:val="24"/>
          <w:szCs w:val="24"/>
        </w:rPr>
        <w:t xml:space="preserve">Основным направлением деятельности на 2022 год является обеспечение макроэкономической стабильности, включая принятия действенных мер по сдерживанию роста уровня потребительских цен, предотвращению и минимизацию влияния кризисных проявлений.</w:t>
      </w:r>
    </w:p>
    <w:p>
      <w:pPr>
        <w:spacing w:after="60"/>
        <w:ind w:firstLine="567"/>
        <w:jc w:val="both"/>
      </w:pPr>
      <w:r>
        <w:rPr>
          <w:rFonts w:ascii="Arial" w:cs="Arial" w:eastAsia="Arial" w:hAnsi="Arial"/>
          <w:sz w:val="24"/>
          <w:szCs w:val="24"/>
        </w:rPr>
        <w:t xml:space="preserve">В целях выработки единой согласованной экономической политики, формирования у бизнес-сообщества и населения адекватных инфляционных ожиданий, определения и реализации основных направлений экономической политики на 2022 год принято Совместное заявление Кабинета Министров Кыргызской Республики и Национального банка Кыргызской Республики об экономической политике на 2022 год (</w:t>
      </w:r>
      <w:hyperlink w:history="1" r:id="rIdzodmarddcgdutrnutp-2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и Национального банка Кыргызской Республики от 26 апреля 2022 года № 229/8-1).</w:t>
      </w:r>
    </w:p>
    <w:p>
      <w:pPr>
        <w:spacing w:after="60"/>
        <w:ind w:firstLine="567"/>
        <w:jc w:val="both"/>
      </w:pPr>
      <w:r>
        <w:rPr>
          <w:rFonts w:ascii="Arial" w:cs="Arial" w:eastAsia="Arial" w:hAnsi="Arial"/>
          <w:sz w:val="24"/>
          <w:szCs w:val="24"/>
        </w:rPr>
        <w:t xml:space="preserve">Принят детализированный План действий Кабинета Министров Кыргызской Республики на 2022 год (распоряжение от 24 марта 2022 года № 134-р), который направлен на обеспечение экономического роста, финансовой стабильности страны, а также принятие комплекса мер по созданию благоприятных условий для ведения экономической деятельности, увеличение доходной части бюджета путем дальнейшего улучшения налогового администрирования и фискализации налоговых и таможенных процедур, обеспечение ценовой стабильности, устойчивости систем жизнеобеспечения, выполнение всех социальных обязательств и достижению стратегических ориентиров и приоритетов.</w:t>
      </w:r>
    </w:p>
    <w:p>
      <w:pPr>
        <w:spacing w:after="60"/>
        <w:ind w:firstLine="567"/>
        <w:jc w:val="both"/>
      </w:pPr>
      <w:r>
        <w:rPr>
          <w:rFonts w:ascii="Arial" w:cs="Arial" w:eastAsia="Arial" w:hAnsi="Arial"/>
          <w:sz w:val="24"/>
          <w:szCs w:val="24"/>
        </w:rPr>
        <w:t xml:space="preserve">Принимая во внимание фундаментальные изменения, высокую степень неопределенности характерные для мировой экономики, ситуацию на валютном рынке и влияния его на стоимость потребительских товаров, для минимизации внешнеэкономических потрясений принят План антикризисных мер Кабинета Министров Кыргызской Республики на 2022 год (распоряжение от 24 марта 2022 года № 133-р) для поддержки бизнеса и населения, который предусматривает меры:</w:t>
      </w:r>
    </w:p>
    <w:p>
      <w:pPr>
        <w:spacing w:after="60"/>
        <w:ind w:firstLine="567"/>
        <w:jc w:val="both"/>
      </w:pPr>
      <w:r>
        <w:rPr>
          <w:rFonts w:ascii="Arial" w:cs="Arial" w:eastAsia="Arial" w:hAnsi="Arial"/>
          <w:sz w:val="24"/>
          <w:szCs w:val="24"/>
        </w:rPr>
        <w:t xml:space="preserve">- по стабилизации товарных, финансовых и валютных рынков;</w:t>
      </w:r>
    </w:p>
    <w:p>
      <w:pPr>
        <w:spacing w:after="60"/>
        <w:ind w:firstLine="567"/>
        <w:jc w:val="both"/>
      </w:pPr>
      <w:r>
        <w:rPr>
          <w:rFonts w:ascii="Arial" w:cs="Arial" w:eastAsia="Arial" w:hAnsi="Arial"/>
          <w:sz w:val="24"/>
          <w:szCs w:val="24"/>
        </w:rPr>
        <w:t xml:space="preserve">- по стабилизации системообразующих отраслей экономики и формирования новых отраслевых планов развития;</w:t>
      </w:r>
    </w:p>
    <w:p>
      <w:pPr>
        <w:spacing w:after="60"/>
        <w:ind w:firstLine="567"/>
        <w:jc w:val="both"/>
      </w:pPr>
      <w:r>
        <w:rPr>
          <w:rFonts w:ascii="Arial" w:cs="Arial" w:eastAsia="Arial" w:hAnsi="Arial"/>
          <w:sz w:val="24"/>
          <w:szCs w:val="24"/>
        </w:rPr>
        <w:t xml:space="preserve">- по выработке новых механизмов поддержки и финансирования участников экономической деятельности.</w:t>
      </w:r>
    </w:p>
    <w:p>
      <w:pPr>
        <w:spacing w:after="60"/>
        <w:ind w:firstLine="567"/>
        <w:jc w:val="both"/>
      </w:pPr>
      <w:r>
        <w:rPr>
          <w:rFonts w:ascii="Arial" w:cs="Arial" w:eastAsia="Arial" w:hAnsi="Arial"/>
          <w:sz w:val="24"/>
          <w:szCs w:val="24"/>
        </w:rPr>
        <w:t xml:space="preserve">Меры, включенные в План, сгруппированы по 7 направлениям: 1) меры по обеспечению продовольственной безопасности и стабилизации цен на приоритетные товары; 2) меры социальной поддержки и занятости; 3) меры по обеспечению финансовой устойчивости; 4) меры поддержки субъектов предпринимательства; 5) меры по привлечению инвестиций; 6) меры по увеличению товарооборота; 7) меры по обеспечению стабильности государственного бюджета.</w:t>
      </w:r>
    </w:p>
    <w:p>
      <w:pPr>
        <w:spacing w:after="60"/>
        <w:ind w:firstLine="567"/>
        <w:jc w:val="both"/>
      </w:pPr>
      <w:r>
        <w:rPr>
          <w:rFonts w:ascii="Arial" w:cs="Arial" w:eastAsia="Arial" w:hAnsi="Arial"/>
          <w:sz w:val="24"/>
          <w:szCs w:val="24"/>
        </w:rPr>
        <w:t xml:space="preserve">В текущем году краткосрочный экономический фон сохраняется крайне неопределенным, риски остаются повышенными и смещены в сторону ухудшения оценок.</w:t>
      </w:r>
    </w:p>
    <w:p>
      <w:pPr>
        <w:spacing w:after="60"/>
        <w:ind w:firstLine="567"/>
        <w:jc w:val="both"/>
      </w:pPr>
      <w:r>
        <w:rPr>
          <w:rFonts w:ascii="Arial" w:cs="Arial" w:eastAsia="Arial" w:hAnsi="Arial"/>
          <w:sz w:val="24"/>
          <w:szCs w:val="24"/>
        </w:rPr>
        <w:t xml:space="preserve">В связи с динамичностью происходящих событий, подрывающих деловую активность, согласно оценке, рост экономики в Кыргызской Республике в 2022 году будет умеренным и оценен достаточно взвешенным с учетом высокого нынешнего уровня неопределенности.</w:t>
      </w:r>
    </w:p>
    <w:p>
      <w:pPr>
        <w:spacing w:after="60"/>
        <w:ind w:firstLine="567"/>
        <w:jc w:val="both"/>
      </w:pPr>
      <w:r>
        <w:rPr>
          <w:rFonts w:ascii="Arial" w:cs="Arial" w:eastAsia="Arial" w:hAnsi="Arial"/>
          <w:sz w:val="24"/>
          <w:szCs w:val="24"/>
        </w:rPr>
        <w:t xml:space="preserve">Ожидается что экономическое развитие будет происходить в условиях замедления темпов роста мировой экономики на фоне продолжения влияния экономических санкций в отношении России и применения дополнительной поддержки со стороны мер экономической политики, где экономический рост на 2022 год оценивается на уровне 103,7%, что в номинальном выражении объем составит в сумме 825 млрд. сомов.</w:t>
      </w:r>
    </w:p>
    <w:p>
      <w:pPr>
        <w:spacing w:after="60"/>
        <w:ind w:firstLine="567"/>
        <w:jc w:val="both"/>
      </w:pPr>
      <w:r>
        <w:rPr>
          <w:rFonts w:ascii="Arial" w:cs="Arial" w:eastAsia="Arial" w:hAnsi="Arial"/>
          <w:sz w:val="24"/>
          <w:szCs w:val="24"/>
        </w:rPr>
        <w:t xml:space="preserve">В 2022 году в секторах экономики рост оценивается следующим образом: в сельском хозяйстве - на 2,1%, промышленности - на 6,7%, сфере услуг - на 3,2%, строительстве - на 3,5%.</w:t>
      </w:r>
    </w:p>
    <w:p>
      <w:pPr>
        <w:spacing w:after="60"/>
        <w:ind w:firstLine="567"/>
        <w:jc w:val="both"/>
      </w:pPr>
      <w:r>
        <w:rPr>
          <w:rFonts w:ascii="Arial" w:cs="Arial" w:eastAsia="Arial" w:hAnsi="Arial"/>
          <w:sz w:val="24"/>
          <w:szCs w:val="24"/>
        </w:rPr>
        <w:t xml:space="preserve">Ожидаемые социально-экономические показатели в 2022 году сложатся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8</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отраслям, формирующим ВВП
 (темпы роста приведены по ВДС)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0"/>
        <w:gridCol w:w="1252"/>
        <w:gridCol w:w="1073"/>
        <w:gridCol w:w="904"/>
        <w:gridCol w:w="1254"/>
        <w:gridCol w:w="1073"/>
        <w:gridCol w:w="902"/>
        <w:gridCol w:w="1411"/>
      </w:tblGrid>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723122,2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103,6</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824948,9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132661,7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148296,5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106170,3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120029,0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60328,8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67747,7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326878,0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378522,4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97083,4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110353,2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Темпы восстановления будут зависеть от действенности поддержки со стороны мер экономической политики, подверженности влиянию вторичных эффектов между странами.</w:t>
      </w:r>
    </w:p>
    <w:p>
      <w:pPr>
        <w:spacing w:after="60"/>
        <w:ind w:firstLine="567"/>
        <w:jc w:val="both"/>
      </w:pPr>
      <w:r>
        <w:rPr>
          <w:rFonts w:ascii="Arial" w:cs="Arial" w:eastAsia="Arial" w:hAnsi="Arial"/>
          <w:sz w:val="24"/>
          <w:szCs w:val="24"/>
        </w:rPr>
        <w:t xml:space="preserve">Обострение геополитической ситуации в мире создает угрозу стабильности рынков продуктов питания. В этих условиях ключевую роль в обеспечении продовольственной безопасности страны, наряду с занятостью населения, будет играть агропромышленный сектор экономики.</w:t>
      </w:r>
    </w:p>
    <w:p>
      <w:pPr>
        <w:spacing w:after="60"/>
        <w:ind w:firstLine="567"/>
        <w:jc w:val="both"/>
      </w:pPr>
      <w:r>
        <w:rPr>
          <w:rFonts w:ascii="Arial" w:cs="Arial" w:eastAsia="Arial" w:hAnsi="Arial"/>
          <w:sz w:val="24"/>
          <w:szCs w:val="24"/>
        </w:rPr>
        <w:t xml:space="preserve">Валовой выпуск продукции сельского хозяйства, лесного хозяйства и рыболовства на 2022 год прогнозируется в объеме 366,6 млрд. сомов, а темп реального прироста - на уровне 102,1%, за счет прироста в растениеводстве - на 2,2% и животноводстве - на 2,0%.</w:t>
      </w:r>
    </w:p>
    <w:p>
      <w:pPr>
        <w:spacing w:after="60"/>
        <w:ind w:firstLine="567"/>
        <w:jc w:val="both"/>
      </w:pPr>
      <w:r>
        <w:rPr>
          <w:rFonts w:ascii="Arial" w:cs="Arial" w:eastAsia="Arial" w:hAnsi="Arial"/>
          <w:sz w:val="24"/>
          <w:szCs w:val="24"/>
        </w:rPr>
        <w:t xml:space="preserve">На данные показатели будут оказывать влияние:</w:t>
      </w:r>
    </w:p>
    <w:p>
      <w:pPr>
        <w:spacing w:after="60"/>
        <w:ind w:firstLine="567"/>
        <w:jc w:val="both"/>
      </w:pPr>
      <w:r>
        <w:rPr>
          <w:rFonts w:ascii="Arial" w:cs="Arial" w:eastAsia="Arial" w:hAnsi="Arial"/>
          <w:sz w:val="24"/>
          <w:szCs w:val="24"/>
        </w:rPr>
        <w:t xml:space="preserve">- наращивание производства зерновых культур на 27,2%, за счет увеличения посевной площади на 24,1 тыс. га - до 678,0 тыс. га; сахарной свеклы - на 36,8%, за счет повышения урожайности, которая выше прошлогодней в 1,5 раза, составив в среднем по республике 534,3 ц/га, хлопка - на 4,2%, масличных культур - на 37,9%, в связи с ростом мировых закупочных цен на данные виды;</w:t>
      </w:r>
    </w:p>
    <w:p>
      <w:pPr>
        <w:spacing w:after="60"/>
        <w:ind w:firstLine="567"/>
        <w:jc w:val="both"/>
      </w:pPr>
      <w:r>
        <w:rPr>
          <w:rFonts w:ascii="Arial" w:cs="Arial" w:eastAsia="Arial" w:hAnsi="Arial"/>
          <w:sz w:val="24"/>
          <w:szCs w:val="24"/>
        </w:rPr>
        <w:t xml:space="preserve">- замедление производства овощей и картофеля (темпы прироста в 2022 году - по 0,1%, соответственно), что обусловлено возможностью наличия торговых барьеров при экспорте данных видов культур;</w:t>
      </w:r>
    </w:p>
    <w:p>
      <w:pPr>
        <w:spacing w:after="60"/>
        <w:ind w:firstLine="567"/>
        <w:jc w:val="both"/>
      </w:pPr>
      <w:r>
        <w:rPr>
          <w:rFonts w:ascii="Arial" w:cs="Arial" w:eastAsia="Arial" w:hAnsi="Arial"/>
          <w:sz w:val="24"/>
          <w:szCs w:val="24"/>
        </w:rPr>
        <w:t xml:space="preserve">- предоставление льготных кредитов для сельхозпроизводителей по линии "Финансирование сельского хозяйства" (в соответствии с распоряжением Кабинета Министров Кыргызской Республики "Финансирование сельского хозяйства - 10" от 3 января 2022 года № 3-р планируется выдача льготных кредитов в сумме 5100,0 млн. сомов для развития отраслей растениеводства, животноводства и пищепереработки);</w:t>
      </w:r>
    </w:p>
    <w:p>
      <w:pPr>
        <w:spacing w:after="60"/>
        <w:ind w:firstLine="567"/>
        <w:jc w:val="both"/>
      </w:pPr>
      <w:r>
        <w:rPr>
          <w:rFonts w:ascii="Arial" w:cs="Arial" w:eastAsia="Arial" w:hAnsi="Arial"/>
          <w:sz w:val="24"/>
          <w:szCs w:val="24"/>
        </w:rPr>
        <w:t xml:space="preserve">- продолжение оказания государственной поддержки в выделении ГСМ, обеспечении фермеров необходимой сельхозтехникой на льготных кредитных условиях путем закупки сельхозтехники по лизингу, в решении проблемы с обеспечением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обеспечение благополучной эпизоотической ситуации в стране;</w:t>
      </w:r>
    </w:p>
    <w:p>
      <w:pPr>
        <w:spacing w:after="60"/>
        <w:ind w:firstLine="567"/>
        <w:jc w:val="both"/>
      </w:pPr>
      <w:r>
        <w:rPr>
          <w:rFonts w:ascii="Arial" w:cs="Arial" w:eastAsia="Arial" w:hAnsi="Arial"/>
          <w:sz w:val="24"/>
          <w:szCs w:val="24"/>
        </w:rPr>
        <w:t xml:space="preserve">- и др.</w:t>
      </w:r>
    </w:p>
    <w:p>
      <w:pPr>
        <w:spacing w:after="60"/>
        <w:ind w:firstLine="567"/>
        <w:jc w:val="both"/>
      </w:pPr>
      <w:r>
        <w:rPr>
          <w:rFonts w:ascii="Arial" w:cs="Arial" w:eastAsia="Arial" w:hAnsi="Arial"/>
          <w:sz w:val="24"/>
          <w:szCs w:val="24"/>
        </w:rPr>
        <w:t xml:space="preserve">Рост продукции животноводства будет достигнут за счет увеличения производства мяса в живом весе на 2,0%, что по сравнению с предыдущим годом больше на 8,6 тыс. тонн и составит 437,5 тыс. тонн, молока - на 2,3%, с увеличением на 38,9 тыс. тонн и составит 1737,0 тыс. тонн, яиц - на 1,5%, с увеличением на 8,3 млн. штук и составит 572,5 млн. штук.</w:t>
      </w:r>
    </w:p>
    <w:p>
      <w:pPr>
        <w:spacing w:after="60"/>
        <w:ind w:firstLine="567"/>
        <w:jc w:val="both"/>
      </w:pPr>
      <w:r>
        <w:rPr>
          <w:rFonts w:ascii="Arial" w:cs="Arial" w:eastAsia="Arial" w:hAnsi="Arial"/>
          <w:sz w:val="24"/>
          <w:szCs w:val="24"/>
        </w:rPr>
        <w:t xml:space="preserve">Основными рисками в данном секторе являются: неблагоприятные природно-климатические условия; непредсказуемость цен на горюче-смазочные материалы; дефицит минеральных удобрений и высокая цена на них; торговые барьеры (закрытие границ); неблагоприятная эпизоотическая ситуация; неэффективное использование предоставленной государственной поддержки и др.</w:t>
      </w:r>
    </w:p>
    <w:p>
      <w:pPr>
        <w:spacing w:after="60"/>
        <w:ind w:firstLine="567"/>
        <w:jc w:val="both"/>
      </w:pPr>
      <w:r>
        <w:rPr>
          <w:rFonts w:ascii="Arial" w:cs="Arial" w:eastAsia="Arial" w:hAnsi="Arial"/>
          <w:sz w:val="24"/>
          <w:szCs w:val="24"/>
        </w:rPr>
        <w:t xml:space="preserve">В промышленности на 2022 год прирост прогнозируется на уровне 6,9% за счет:</w:t>
      </w:r>
    </w:p>
    <w:p>
      <w:pPr>
        <w:spacing w:after="60"/>
        <w:ind w:firstLine="567"/>
        <w:jc w:val="both"/>
      </w:pPr>
      <w:r>
        <w:rPr>
          <w:rFonts w:ascii="Arial" w:cs="Arial" w:eastAsia="Arial" w:hAnsi="Arial"/>
          <w:sz w:val="24"/>
          <w:szCs w:val="24"/>
        </w:rPr>
        <w:t xml:space="preserve">- увеличения объемов производства на месторождении Кумтор на 8,9% по сравнению с 2021 годом (в расчет принят средний предел - 510 тыс. унций, вместо заявленного в производственном плане объемов ЗАО "Кумтор Голд Компани", принимая во внимание значительное сокращение по итогам I квартала 2022 года, на 26,3%);</w:t>
      </w:r>
    </w:p>
    <w:p>
      <w:pPr>
        <w:spacing w:after="60"/>
        <w:ind w:firstLine="567"/>
        <w:jc w:val="both"/>
      </w:pPr>
      <w:r>
        <w:rPr>
          <w:rFonts w:ascii="Arial" w:cs="Arial" w:eastAsia="Arial" w:hAnsi="Arial"/>
          <w:sz w:val="24"/>
          <w:szCs w:val="24"/>
        </w:rPr>
        <w:t xml:space="preserve">- роста объемов производства основного металла на месторождении Талды-Булак Левобережный на 7,2%;</w:t>
      </w:r>
    </w:p>
    <w:p>
      <w:pPr>
        <w:spacing w:after="60"/>
        <w:ind w:firstLine="567"/>
        <w:jc w:val="both"/>
      </w:pPr>
      <w:r>
        <w:rPr>
          <w:rFonts w:ascii="Arial" w:cs="Arial" w:eastAsia="Arial" w:hAnsi="Arial"/>
          <w:sz w:val="24"/>
          <w:szCs w:val="24"/>
        </w:rPr>
        <w:t xml:space="preserve">- наращивания объемов производства основного металла на месторождении Джеруй, где ожидается рост на 18,7%;</w:t>
      </w:r>
    </w:p>
    <w:p>
      <w:pPr>
        <w:spacing w:after="60"/>
        <w:ind w:firstLine="567"/>
        <w:jc w:val="both"/>
      </w:pPr>
      <w:r>
        <w:rPr>
          <w:rFonts w:ascii="Arial" w:cs="Arial" w:eastAsia="Arial" w:hAnsi="Arial"/>
          <w:sz w:val="24"/>
          <w:szCs w:val="24"/>
        </w:rPr>
        <w:t xml:space="preserve">- возобновления работы Макмал;</w:t>
      </w:r>
    </w:p>
    <w:p>
      <w:pPr>
        <w:spacing w:after="60"/>
        <w:ind w:firstLine="567"/>
        <w:jc w:val="both"/>
      </w:pPr>
      <w:r>
        <w:rPr>
          <w:rFonts w:ascii="Arial" w:cs="Arial" w:eastAsia="Arial" w:hAnsi="Arial"/>
          <w:sz w:val="24"/>
          <w:szCs w:val="24"/>
        </w:rPr>
        <w:t xml:space="preserve">- запуска месторождения Караказык (ОсОО "Кайди");</w:t>
      </w:r>
    </w:p>
    <w:p>
      <w:pPr>
        <w:spacing w:after="60"/>
        <w:ind w:firstLine="567"/>
        <w:jc w:val="both"/>
      </w:pPr>
      <w:r>
        <w:rPr>
          <w:rFonts w:ascii="Arial" w:cs="Arial" w:eastAsia="Arial" w:hAnsi="Arial"/>
          <w:sz w:val="24"/>
          <w:szCs w:val="24"/>
        </w:rPr>
        <w:t xml:space="preserve">- восстановления объемов текстильного и швейного производства, в 2022 году ожидается рост на 2,0% (в 2021 г. - 94,2%);</w:t>
      </w:r>
    </w:p>
    <w:p>
      <w:pPr>
        <w:spacing w:after="60"/>
        <w:ind w:firstLine="567"/>
        <w:jc w:val="both"/>
      </w:pPr>
      <w:r>
        <w:rPr>
          <w:rFonts w:ascii="Arial" w:cs="Arial" w:eastAsia="Arial" w:hAnsi="Arial"/>
          <w:sz w:val="24"/>
          <w:szCs w:val="24"/>
        </w:rPr>
        <w:t xml:space="preserve">- прироста объемов производства продуктов (включая напитки) и табачных изделий в 2022 году на уровне 6,0% (в 2021 году база высокая - 113,3%);</w:t>
      </w:r>
    </w:p>
    <w:p>
      <w:pPr>
        <w:spacing w:after="60"/>
        <w:ind w:firstLine="567"/>
        <w:jc w:val="both"/>
      </w:pPr>
      <w:r>
        <w:rPr>
          <w:rFonts w:ascii="Arial" w:cs="Arial" w:eastAsia="Arial" w:hAnsi="Arial"/>
          <w:sz w:val="24"/>
          <w:szCs w:val="24"/>
        </w:rPr>
        <w:t xml:space="preserve">- постепенного восстановления объемов производства НПЗ "Джунда", Токмакского НПЗ, Кара-Балтинского НПЗ, Джалал-Абадского НПЗ, в 2022 году за счет освоения их производственной мощности ожидается рост на 7,2% (2021 году база была высокой - 167%);</w:t>
      </w:r>
    </w:p>
    <w:p>
      <w:pPr>
        <w:spacing w:after="60"/>
        <w:ind w:firstLine="567"/>
        <w:jc w:val="both"/>
      </w:pPr>
      <w:r>
        <w:rPr>
          <w:rFonts w:ascii="Arial" w:cs="Arial" w:eastAsia="Arial" w:hAnsi="Arial"/>
          <w:sz w:val="24"/>
          <w:szCs w:val="24"/>
        </w:rPr>
        <w:t xml:space="preserve">- снижения объемов производства строительных материалов на 8,0% (2021 году база была высокой - 133,4%) за счет сокращения спроса на строительные материалы из-за замедления темпов в строительной отрасли; уменьшения экспорта цемента в Узбекистан за счет запуска собственных производств, стекла в Россию из-за приостановки строительства отдельных объектов введением санкций;</w:t>
      </w:r>
    </w:p>
    <w:p>
      <w:pPr>
        <w:spacing w:after="60"/>
        <w:ind w:firstLine="567"/>
        <w:jc w:val="both"/>
      </w:pPr>
      <w:r>
        <w:rPr>
          <w:rFonts w:ascii="Arial" w:cs="Arial" w:eastAsia="Arial" w:hAnsi="Arial"/>
          <w:sz w:val="24"/>
          <w:szCs w:val="24"/>
        </w:rPr>
        <w:t xml:space="preserve">- снижения выработки электроэнергии на 6%, с учетом существующего наполнения Токтогульского водохранилища, при этом с учетом ее передачи и распределения, распределения газообразного топлива через системы газоснабжения (рост на 8,8%), отрицательное значение в этой отрасли будет нивелировано;</w:t>
      </w:r>
    </w:p>
    <w:p>
      <w:pPr>
        <w:spacing w:after="60"/>
        <w:ind w:firstLine="567"/>
        <w:jc w:val="both"/>
      </w:pPr>
      <w:r>
        <w:rPr>
          <w:rFonts w:ascii="Arial" w:cs="Arial" w:eastAsia="Arial" w:hAnsi="Arial"/>
          <w:sz w:val="24"/>
          <w:szCs w:val="24"/>
        </w:rPr>
        <w:t xml:space="preserve">- мероприятия по запуску простаивающих предприятий, а также ввода новых мощностей и др.</w:t>
      </w:r>
    </w:p>
    <w:p>
      <w:pPr>
        <w:spacing w:after="60"/>
        <w:ind w:firstLine="567"/>
        <w:jc w:val="both"/>
      </w:pPr>
      <w:r>
        <w:rPr>
          <w:rFonts w:ascii="Arial" w:cs="Arial" w:eastAsia="Arial" w:hAnsi="Arial"/>
          <w:sz w:val="24"/>
          <w:szCs w:val="24"/>
        </w:rPr>
        <w:t xml:space="preserve">В строительном комплексе страны прогнозируется увеличение капитальных вложений на 4,6%, объемы составят 139,2 млрд. сомов: из них за счет внутренних источников финансирования предусмотрено поступление капитальных вложений:</w:t>
      </w:r>
    </w:p>
    <w:p>
      <w:pPr>
        <w:spacing w:after="60"/>
        <w:ind w:firstLine="567"/>
        <w:jc w:val="both"/>
      </w:pPr>
      <w:r>
        <w:rPr>
          <w:rFonts w:ascii="Arial" w:cs="Arial" w:eastAsia="Arial" w:hAnsi="Arial"/>
          <w:sz w:val="24"/>
          <w:szCs w:val="24"/>
        </w:rPr>
        <w:t xml:space="preserve">- из республиканского бюджета по статье "Капитальные вложения" в сумме 3000,0 млн. сомов;</w:t>
      </w:r>
    </w:p>
    <w:p>
      <w:pPr>
        <w:spacing w:after="60"/>
        <w:ind w:firstLine="567"/>
        <w:jc w:val="both"/>
      </w:pPr>
      <w:r>
        <w:rPr>
          <w:rFonts w:ascii="Arial" w:cs="Arial" w:eastAsia="Arial" w:hAnsi="Arial"/>
          <w:sz w:val="24"/>
          <w:szCs w:val="24"/>
        </w:rPr>
        <w:t xml:space="preserve">- за счет средств предприятий и организаций в сумме 48,9 млрд. сомов (за счет инвестиций ЗАО "Кумтор Голд Компани" (29861,4 млн. сомов); ОАО "Кыргызалтын" (124,7 млн. сомов) и др.;</w:t>
      </w:r>
    </w:p>
    <w:p>
      <w:pPr>
        <w:spacing w:after="60"/>
        <w:ind w:firstLine="567"/>
        <w:jc w:val="both"/>
      </w:pPr>
      <w:r>
        <w:rPr>
          <w:rFonts w:ascii="Arial" w:cs="Arial" w:eastAsia="Arial" w:hAnsi="Arial"/>
          <w:sz w:val="24"/>
          <w:szCs w:val="24"/>
        </w:rPr>
        <w:t xml:space="preserve">- за счет внешних источников финансирования:</w:t>
      </w:r>
    </w:p>
    <w:p>
      <w:pPr>
        <w:spacing w:after="60"/>
        <w:ind w:firstLine="567"/>
        <w:jc w:val="both"/>
      </w:pPr>
      <w:r>
        <w:rPr>
          <w:rFonts w:ascii="Arial" w:cs="Arial" w:eastAsia="Arial" w:hAnsi="Arial"/>
          <w:sz w:val="24"/>
          <w:szCs w:val="24"/>
        </w:rPr>
        <w:t xml:space="preserve">- за счет иностранных кредитов, иностранных грантов и гуманитарной помощи, ожидается в сумме 24,9 млрд. сомов;</w:t>
      </w:r>
    </w:p>
    <w:p>
      <w:pPr>
        <w:spacing w:after="60"/>
        <w:ind w:firstLine="567"/>
        <w:jc w:val="both"/>
      </w:pPr>
      <w:r>
        <w:rPr>
          <w:rFonts w:ascii="Arial" w:cs="Arial" w:eastAsia="Arial" w:hAnsi="Arial"/>
          <w:sz w:val="24"/>
          <w:szCs w:val="24"/>
        </w:rPr>
        <w:t xml:space="preserve">- за счет увеличения объемов прямых иностранных инвестиций до 12,9 млрд. сомов (ОсОО "Full gold mining" (100,0 млн. сомов); ОАО "Алтынкен" (129,2 млн. сомов); ОсОО "KAZ Minerals Bozymchak" (3522,8 млн. сомов); ЗАО "Чаарат Заав" (5102,9 млн. сомов); ОсОО "Газпром Кыргызстан" (591,3 млн. сомов); ОсОО "Алтын-Альянс" (1215,0 млн. сомов), ОсОО "Горная инвестиционная компания "Кайди" (1367,2 млн. сомов); ОсОО "Нефтеперерабатывающий завод "Байэл-3" (40,0 млн. сомов); и др.</w:t>
      </w:r>
    </w:p>
    <w:p>
      <w:pPr>
        <w:spacing w:after="60"/>
        <w:ind w:firstLine="567"/>
        <w:jc w:val="both"/>
      </w:pPr>
      <w:r>
        <w:rPr>
          <w:rFonts w:ascii="Arial" w:cs="Arial" w:eastAsia="Arial" w:hAnsi="Arial"/>
          <w:sz w:val="24"/>
          <w:szCs w:val="24"/>
        </w:rPr>
        <w:t xml:space="preserve">В 2022 году важнейшими направлениями проектов государственных инвестиций останутся развитие транспортной системы, энергетической инфраструктуры, а также водоснабжения и др.</w:t>
      </w:r>
    </w:p>
    <w:p>
      <w:pPr>
        <w:spacing w:after="60"/>
        <w:ind w:firstLine="567"/>
        <w:jc w:val="both"/>
      </w:pPr>
      <w:r>
        <w:rPr>
          <w:rFonts w:ascii="Arial" w:cs="Arial" w:eastAsia="Arial" w:hAnsi="Arial"/>
          <w:sz w:val="24"/>
          <w:szCs w:val="24"/>
        </w:rPr>
        <w:t xml:space="preserve">Объем бюджета государственных инвестиций составляет 37778,9 млн. сомов, из которых гранты - 13779,5 млн. сомов (36,5%), кредиты - 21918,0 млн. сомов (58,0%) и софинансирование Кабинета Министров Кыргызской Республики - 2081,4 млн. сомов (5,5%). Наибольшие объемы финансирования предусмотрены в секторе транспорта в размере 10141,3 млн. сомов (26,8% всех государственных инвестиций). В энергетической отрасли объемы финансирования предусмотрены в сумме 8436,3 млн. сомов (22,3% всех государственных инвестиций).</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2022 году прогнозируется на уровне 3,5% и составит 165,0 млрд. сомов. Влияние строительной отрасли на темпы экономического роста будет положительным и составит 0,29 процентного пункта, удельный вес строительства в структуре производства ВВП - 8,2%.</w:t>
      </w:r>
    </w:p>
    <w:p>
      <w:pPr>
        <w:spacing w:after="60"/>
        <w:ind w:firstLine="567"/>
        <w:jc w:val="both"/>
      </w:pPr>
      <w:r>
        <w:rPr>
          <w:rFonts w:ascii="Arial" w:cs="Arial" w:eastAsia="Arial" w:hAnsi="Arial"/>
          <w:sz w:val="24"/>
          <w:szCs w:val="24"/>
        </w:rPr>
        <w:t xml:space="preserve">В сфере услуг реальный прирост в 2022 году ожидается на уровне 3,3%, за счет прироста:</w:t>
      </w:r>
    </w:p>
    <w:p>
      <w:pPr>
        <w:spacing w:after="60"/>
        <w:ind w:firstLine="567"/>
        <w:jc w:val="both"/>
      </w:pPr>
      <w:r>
        <w:rPr>
          <w:rFonts w:ascii="Arial" w:cs="Arial" w:eastAsia="Arial" w:hAnsi="Arial"/>
          <w:sz w:val="24"/>
          <w:szCs w:val="24"/>
        </w:rPr>
        <w:t xml:space="preserve">- валового выпуска торговли на 5,8%;</w:t>
      </w:r>
    </w:p>
    <w:p>
      <w:pPr>
        <w:spacing w:after="60"/>
        <w:ind w:firstLine="567"/>
        <w:jc w:val="both"/>
      </w:pPr>
      <w:r>
        <w:rPr>
          <w:rFonts w:ascii="Arial" w:cs="Arial" w:eastAsia="Arial" w:hAnsi="Arial"/>
          <w:sz w:val="24"/>
          <w:szCs w:val="24"/>
        </w:rPr>
        <w:t xml:space="preserve">- услуг транспортной деятельности и хранения грузов на 5,6%;</w:t>
      </w:r>
    </w:p>
    <w:p>
      <w:pPr>
        <w:spacing w:after="60"/>
        <w:ind w:firstLine="567"/>
        <w:jc w:val="both"/>
      </w:pPr>
      <w:r>
        <w:rPr>
          <w:rFonts w:ascii="Arial" w:cs="Arial" w:eastAsia="Arial" w:hAnsi="Arial"/>
          <w:sz w:val="24"/>
          <w:szCs w:val="24"/>
        </w:rPr>
        <w:t xml:space="preserve">- деятельности гостиниц и ресторанов на 9,8%;</w:t>
      </w:r>
    </w:p>
    <w:p>
      <w:pPr>
        <w:spacing w:after="60"/>
        <w:ind w:firstLine="567"/>
        <w:jc w:val="both"/>
      </w:pPr>
      <w:r>
        <w:rPr>
          <w:rFonts w:ascii="Arial" w:cs="Arial" w:eastAsia="Arial" w:hAnsi="Arial"/>
          <w:sz w:val="24"/>
          <w:szCs w:val="24"/>
        </w:rPr>
        <w:t xml:space="preserve">- услуг связи на 2,5%.</w:t>
      </w:r>
    </w:p>
    <w:p>
      <w:pPr>
        <w:spacing w:after="60"/>
        <w:ind w:firstLine="567"/>
        <w:jc w:val="both"/>
      </w:pPr>
      <w:r>
        <w:rPr>
          <w:rFonts w:ascii="Arial" w:cs="Arial" w:eastAsia="Arial" w:hAnsi="Arial"/>
          <w:sz w:val="24"/>
          <w:szCs w:val="24"/>
        </w:rPr>
        <w:t xml:space="preserve">Ожидаемые умеренные показатели сферы услуг на 2022 год, в основном, обусловлены высокой базой отдельных отраслей в 2021 году (106,9%).</w:t>
      </w:r>
    </w:p>
    <w:p>
      <w:pPr>
        <w:spacing w:after="60"/>
        <w:ind w:firstLine="567"/>
        <w:jc w:val="both"/>
      </w:pPr>
      <w:r>
        <w:rPr>
          <w:rFonts w:ascii="Arial" w:cs="Arial" w:eastAsia="Arial" w:hAnsi="Arial"/>
          <w:sz w:val="24"/>
          <w:szCs w:val="24"/>
        </w:rPr>
        <w:t xml:space="preserve">Показатели сферы услуг будут достигнуты за счет таких факторов, как:</w:t>
      </w:r>
    </w:p>
    <w:p>
      <w:pPr>
        <w:spacing w:after="60"/>
        <w:ind w:firstLine="567"/>
        <w:jc w:val="both"/>
      </w:pPr>
      <w:r>
        <w:rPr>
          <w:rFonts w:ascii="Arial" w:cs="Arial" w:eastAsia="Arial" w:hAnsi="Arial"/>
          <w:sz w:val="24"/>
          <w:szCs w:val="24"/>
        </w:rPr>
        <w:t xml:space="preserve">- рост денежных доходов населения (заработной платы), соответственно увеличение потребительского спроса;</w:t>
      </w:r>
    </w:p>
    <w:p>
      <w:pPr>
        <w:spacing w:after="60"/>
        <w:ind w:firstLine="567"/>
        <w:jc w:val="both"/>
      </w:pPr>
      <w:r>
        <w:rPr>
          <w:rFonts w:ascii="Arial" w:cs="Arial" w:eastAsia="Arial" w:hAnsi="Arial"/>
          <w:sz w:val="24"/>
          <w:szCs w:val="24"/>
        </w:rPr>
        <w:t xml:space="preserve">- продолжение процесса интеграции в ЕАЭС в части улучшения условий для отечественных грузоперевозчиков в оказании международных автотранспортных услуг; расширение географии полетов на воздушном судне, снятие ограничений и возобновление авиасообщений и грузовых перевозок со всеми странами в прежнем объеме до предпандемийного уровня;</w:t>
      </w:r>
    </w:p>
    <w:p>
      <w:pPr>
        <w:spacing w:after="60"/>
        <w:ind w:firstLine="567"/>
        <w:jc w:val="both"/>
      </w:pPr>
      <w:r>
        <w:rPr>
          <w:rFonts w:ascii="Arial" w:cs="Arial" w:eastAsia="Arial" w:hAnsi="Arial"/>
          <w:sz w:val="24"/>
          <w:szCs w:val="24"/>
        </w:rPr>
        <w:t xml:space="preserve">- снятие ограничений для въезда туристов из других стран и реализация Программы Правительства Кыргызской Республики развития сферы туризма на 2019-2023 годы (</w:t>
      </w:r>
      <w:hyperlink w:history="1" r:id="rId-o2ar-uokxsig7bkoqyf-">
        <w:r>
          <w:rPr>
            <w:rFonts w:ascii="Arial" w:cs="Arial" w:eastAsia="Arial" w:hAnsi="Arial"/>
            <w:color w:val="1D4ED8"/>
            <w:sz w:val="24"/>
            <w:szCs w:val="24"/>
            <w:u w:val="single"/>
          </w:rPr>
          <w:t xml:space="preserve">от 31 января 2019 года № 36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улучшение показателей социально-экономического развития стран основных торговых партнеров Кыргызской Республики и, как следствие, стимулирование экспортных поставок республики в соседние страны при улучшении предпринимательской среды;</w:t>
      </w:r>
    </w:p>
    <w:p>
      <w:pPr>
        <w:spacing w:after="60"/>
        <w:ind w:firstLine="567"/>
        <w:jc w:val="both"/>
      </w:pPr>
      <w:r>
        <w:rPr>
          <w:rFonts w:ascii="Arial" w:cs="Arial" w:eastAsia="Arial" w:hAnsi="Arial"/>
          <w:sz w:val="24"/>
          <w:szCs w:val="24"/>
        </w:rPr>
        <w:t xml:space="preserve">- создание благоприятной среды для развития предпринимательской деятельности;</w:t>
      </w:r>
    </w:p>
    <w:p>
      <w:pPr>
        <w:spacing w:after="60"/>
        <w:ind w:firstLine="567"/>
        <w:jc w:val="both"/>
      </w:pPr>
      <w:r>
        <w:rPr>
          <w:rFonts w:ascii="Arial" w:cs="Arial" w:eastAsia="Arial" w:hAnsi="Arial"/>
          <w:sz w:val="24"/>
          <w:szCs w:val="24"/>
        </w:rPr>
        <w:t xml:space="preserve">- повышение доли цифровых услуг в экономике;</w:t>
      </w:r>
    </w:p>
    <w:p>
      <w:pPr>
        <w:spacing w:after="60"/>
        <w:ind w:firstLine="567"/>
        <w:jc w:val="both"/>
      </w:pPr>
      <w:r>
        <w:rPr>
          <w:rFonts w:ascii="Arial" w:cs="Arial" w:eastAsia="Arial" w:hAnsi="Arial"/>
          <w:sz w:val="24"/>
          <w:szCs w:val="24"/>
        </w:rPr>
        <w:t xml:space="preserve">- снижение денежных переводов мигрантов за счет ухудшения экономической ситуации в Российской Федерации;</w:t>
      </w:r>
    </w:p>
    <w:p>
      <w:pPr>
        <w:spacing w:after="60"/>
        <w:ind w:firstLine="567"/>
        <w:jc w:val="both"/>
      </w:pPr>
      <w:r>
        <w:rPr>
          <w:rFonts w:ascii="Arial" w:cs="Arial" w:eastAsia="Arial" w:hAnsi="Arial"/>
          <w:sz w:val="24"/>
          <w:szCs w:val="24"/>
        </w:rPr>
        <w:t xml:space="preserve">- снижение доли теневой экономики (результат экономической амнистии, фискализации налоговых процедур, автоматизация системы управления на АЗС и т.д.).</w:t>
      </w:r>
    </w:p>
    <w:p>
      <w:pPr>
        <w:spacing w:after="60"/>
        <w:ind w:firstLine="567"/>
        <w:jc w:val="both"/>
      </w:pPr>
      <w:r>
        <w:rPr>
          <w:rFonts w:ascii="Arial" w:cs="Arial" w:eastAsia="Arial" w:hAnsi="Arial"/>
          <w:sz w:val="24"/>
          <w:szCs w:val="24"/>
        </w:rPr>
        <w:t xml:space="preserve">В 2022 году продолжился рост цен на мировых рынках продовольствия, что отразится на уровне инфляции в стране. Несмотря на ожидаемое уменьшение дисбаланса между мировым предложением и спросом на товары в 2022 году, дальнейшее восстановление глобального спроса обусловит продолжение роста цен на мировые продовольственные товары. Основной вклад в инфляцию будет внесен продовольственной группой товаров, преимущественно импортируемых в страну, а плановое повышение акцизов на алкогольную и табачную продукцию внесет дополнительный вклад в общий уровень цен. В результате уровень инфляции в 2022 году оценивается на уровне 14-15%.</w:t>
      </w:r>
    </w:p>
    <w:p>
      <w:pPr>
        <w:spacing w:after="60"/>
        <w:ind w:firstLine="567"/>
        <w:jc w:val="both"/>
      </w:pPr>
      <w:r>
        <w:rPr>
          <w:rFonts w:ascii="Arial" w:cs="Arial" w:eastAsia="Arial" w:hAnsi="Arial"/>
          <w:sz w:val="24"/>
          <w:szCs w:val="24"/>
        </w:rPr>
        <w:t xml:space="preserve">Национальный банк Кыргызской Республики продолжит проводить денежно-кредитную политику, направленную на обеспечение ценовой стабильности.</w:t>
      </w:r>
    </w:p>
    <w:p>
      <w:pPr>
        <w:spacing w:after="60"/>
        <w:ind w:firstLine="567"/>
        <w:jc w:val="both"/>
      </w:pPr>
      <w:r>
        <w:rPr>
          <w:rFonts w:ascii="Arial" w:cs="Arial" w:eastAsia="Arial" w:hAnsi="Arial"/>
          <w:sz w:val="24"/>
          <w:szCs w:val="24"/>
        </w:rPr>
        <w:t xml:space="preserve">Следует отметить, что прогноз составлялся в условиях высокой неопределенности, а экономическое развитие во многом будет зависеть от происходящего внешнего фактора. В случае изменения ситуации прогноз будет пересмотрен, а показатели скорректированы с учетом новых реалий.</w:t>
      </w:r>
    </w:p>
    <w:p>
      <w:pPr>
        <w:spacing w:after="200" w:before="200"/>
        <w:jc w:val="center"/>
      </w:pPr>
      <w:r>
        <w:rPr>
          <w:rFonts w:ascii="Arial" w:cs="Arial" w:eastAsia="Arial" w:hAnsi="Arial"/>
          <w:b/>
          <w:bCs/>
          <w:sz w:val="24"/>
          <w:szCs w:val="24"/>
        </w:rPr>
        <w:t xml:space="preserve">6. Макроэкономический прогноз на 2023 год</w:t>
      </w:r>
    </w:p>
    <w:p>
      <w:pPr>
        <w:spacing w:after="60" w:before="200"/>
        <w:ind w:firstLine="567"/>
        <w:jc w:val="both"/>
      </w:pPr>
      <w:r>
        <w:rPr>
          <w:rFonts w:ascii="Arial" w:cs="Arial" w:eastAsia="Arial" w:hAnsi="Arial"/>
          <w:b/>
          <w:bCs/>
          <w:sz w:val="24"/>
          <w:szCs w:val="24"/>
        </w:rPr>
        <w:t xml:space="preserve">6.1. Макроэкономическая политика</w:t>
      </w:r>
    </w:p>
    <w:p>
      <w:pPr>
        <w:spacing w:after="60"/>
        <w:ind w:firstLine="567"/>
        <w:jc w:val="both"/>
      </w:pPr>
      <w:r>
        <w:rPr>
          <w:rFonts w:ascii="Arial" w:cs="Arial" w:eastAsia="Arial" w:hAnsi="Arial"/>
          <w:sz w:val="24"/>
          <w:szCs w:val="24"/>
        </w:rPr>
        <w:t xml:space="preserve">Основные направления и меры политики на 2023 год будут реализовываться в соответствии с ориентирами, определенными в Национальной стратегии развития Кыргызской Республики на 2018-2040 годы (</w:t>
      </w:r>
      <w:hyperlink w:history="1" r:id="rId_5sq1x9cqlj4vywlq52sx">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31 октября 2018 года № 221), </w:t>
      </w:r>
      <w:hyperlink w:history="1" r:id="rIdy9lshb91yyy6rr90ybsip">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w:t>
      </w:r>
      <w:hyperlink w:history="1" r:id="rIdmatzrr12wu9549rpoo13x">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12 октября 2021 года № 435), Плане мероприятий Кабинета Министров Кыргызской Республики по реализации </w:t>
      </w:r>
      <w:hyperlink w:history="1" r:id="rIdyrymc9-ny6ubgvxpmmztl">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w:t>
      </w:r>
      <w:hyperlink w:history="1" r:id="rIdaai2mdzeqjboy_1yyin1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от 25 декабря 2021 года, № 352), Основных направлениях денежно-кредитной политики на среднесрочный период (постановление Правления Национального банка Кыргызской Республики от 13 декабря 2017 года № 2017-П-07/51-1-(ДКП).</w:t>
      </w:r>
    </w:p>
    <w:p>
      <w:pPr>
        <w:spacing w:after="60"/>
        <w:ind w:firstLine="567"/>
        <w:jc w:val="both"/>
      </w:pPr>
      <w:r>
        <w:rPr>
          <w:rFonts w:ascii="Arial" w:cs="Arial" w:eastAsia="Arial" w:hAnsi="Arial"/>
          <w:sz w:val="24"/>
          <w:szCs w:val="24"/>
        </w:rPr>
        <w:t xml:space="preserve">Для достижения определенных параметров прогноза будет разработан детализированный План действий Кабинета Министров Кыргызской Республики на 2023 год, направленный на полную мобилизацию ресурсов экономики для достижения поставленных целей.</w:t>
      </w:r>
    </w:p>
    <w:p>
      <w:pPr>
        <w:spacing w:after="60"/>
        <w:ind w:firstLine="567"/>
        <w:jc w:val="both"/>
      </w:pPr>
      <w:r>
        <w:rPr>
          <w:rFonts w:ascii="Arial" w:cs="Arial" w:eastAsia="Arial" w:hAnsi="Arial"/>
          <w:sz w:val="24"/>
          <w:szCs w:val="24"/>
        </w:rPr>
        <w:t xml:space="preserve">Основными приоритетами экономической политики будут повышение качества жизни граждан и выполнение государственных обязательств в полном объеме, обеспечение сохранения уровня экономического роста.</w:t>
      </w:r>
    </w:p>
    <w:p>
      <w:pPr>
        <w:spacing w:after="60"/>
        <w:ind w:firstLine="567"/>
        <w:jc w:val="both"/>
      </w:pPr>
      <w:r>
        <w:rPr>
          <w:rFonts w:ascii="Arial" w:cs="Arial" w:eastAsia="Arial" w:hAnsi="Arial"/>
          <w:sz w:val="24"/>
          <w:szCs w:val="24"/>
        </w:rPr>
        <w:t xml:space="preserve">Будет продолжено проведение макроэкономической политики, направленное на восстановление потребительского спроса, развитие приоритетных секторов с высоким экспортным потенциалом, реализацию крупных национальных инвестиционных проектов в энергетике, ирригации, дорожно-транспортной сфере, активное использование членства Кыргызской Республики в ЕАЭС и ВТО, повышение инвестиционной привлекательности, улучшение делового климата, создание благоприятной деловой среды для предпринимательства, вывод бизнеса из тени и создание доступа населения к финансовым инструментам.</w:t>
      </w:r>
    </w:p>
    <w:p>
      <w:pPr>
        <w:spacing w:after="60"/>
        <w:ind w:firstLine="567"/>
        <w:jc w:val="both"/>
      </w:pPr>
      <w:r>
        <w:rPr>
          <w:rFonts w:ascii="Arial" w:cs="Arial" w:eastAsia="Arial" w:hAnsi="Arial"/>
          <w:sz w:val="24"/>
          <w:szCs w:val="24"/>
        </w:rPr>
        <w:t xml:space="preserve">Для обеспечения экономической устойчивости и социальной стабильности первоочередными задачами Кабинета Министров Кыргызской Республики будет реализация мер по обеспечению макроэкономической стабильности, для чего особое внимание будет уделено реализации мер по созданию условий для поддержки малого и среднего бизнеса, экспортно-импортных операций и защиты инвесторов, полноценного функционирования хозяйствующих субъектов, проведению эффективной социальной политики государства, укреплению внешнеторговых связей и развитию внутреннего рынка, создания условий для повышения производительности в реальном секторе экономики и обеспечения устойчивости государственного бюджета.</w:t>
      </w:r>
    </w:p>
    <w:p>
      <w:pPr>
        <w:spacing w:after="60" w:before="200"/>
        <w:ind w:firstLine="567"/>
        <w:jc w:val="both"/>
      </w:pPr>
      <w:r>
        <w:rPr>
          <w:rFonts w:ascii="Arial" w:cs="Arial" w:eastAsia="Arial" w:hAnsi="Arial"/>
          <w:b/>
          <w:bCs/>
          <w:sz w:val="24"/>
          <w:szCs w:val="24"/>
        </w:rPr>
        <w:t xml:space="preserve">6.2. Денежно-кредитная политика</w:t>
      </w:r>
    </w:p>
    <w:p>
      <w:pPr>
        <w:spacing w:after="60"/>
        <w:ind w:firstLine="567"/>
        <w:jc w:val="both"/>
      </w:pPr>
      <w:r>
        <w:rPr>
          <w:rFonts w:ascii="Arial" w:cs="Arial" w:eastAsia="Arial" w:hAnsi="Arial"/>
          <w:sz w:val="24"/>
          <w:szCs w:val="24"/>
        </w:rPr>
        <w:t xml:space="preserve">В 2023 году Национальный банк Кыргызской Республики продолжит проводить денежно-кредитную политику, направленную на обеспечение ценовой стабильности, для чего будет применять весь инструментарий монетарной политики.</w:t>
      </w:r>
    </w:p>
    <w:p>
      <w:pPr>
        <w:spacing w:after="60"/>
        <w:ind w:firstLine="567"/>
        <w:jc w:val="both"/>
      </w:pPr>
      <w:r>
        <w:rPr>
          <w:rFonts w:ascii="Arial" w:cs="Arial" w:eastAsia="Arial" w:hAnsi="Arial"/>
          <w:sz w:val="24"/>
          <w:szCs w:val="24"/>
        </w:rPr>
        <w:t xml:space="preserve">Национальный банк Кыргызской Республики будет проводить денежно-кредитную политику в рамках Основных направлений денежно-кредитной политики на среднесрочный период, утвержденных постановлением Правления Национального банка от 13 декабря 2017 года № 2017-П-07/51-1-(ДКП).</w:t>
      </w:r>
    </w:p>
    <w:p>
      <w:pPr>
        <w:spacing w:after="60"/>
        <w:ind w:firstLine="567"/>
        <w:jc w:val="both"/>
      </w:pPr>
      <w:r>
        <w:rPr>
          <w:rFonts w:ascii="Arial" w:cs="Arial" w:eastAsia="Arial" w:hAnsi="Arial"/>
          <w:sz w:val="24"/>
          <w:szCs w:val="24"/>
        </w:rPr>
        <w:t xml:space="preserve">Для достижения целевых ориентиров денежно-кредитная политика будет проводиться с учетом заявленных направлений развития, уделяя особое внимание совершенствованию инструментов денежно-кредитной политики, улучшению процесса принятия решений и коммуникационной составляющей денежно-кредитной политики.</w:t>
      </w:r>
    </w:p>
    <w:p>
      <w:pPr>
        <w:spacing w:after="60"/>
        <w:ind w:firstLine="567"/>
        <w:jc w:val="both"/>
      </w:pPr>
      <w:r>
        <w:rPr>
          <w:rFonts w:ascii="Arial" w:cs="Arial" w:eastAsia="Arial" w:hAnsi="Arial"/>
          <w:sz w:val="24"/>
          <w:szCs w:val="24"/>
        </w:rPr>
        <w:t xml:space="preserve">В рамках постепенного перехода к режиму таргетирования инфляции в среднесрочной перспективе усилия Национального банка Кыргызской Республики будут направлены на:</w:t>
      </w:r>
    </w:p>
    <w:p>
      <w:pPr>
        <w:spacing w:after="60"/>
        <w:ind w:firstLine="567"/>
        <w:jc w:val="both"/>
      </w:pPr>
      <w:r>
        <w:rPr>
          <w:rFonts w:ascii="Arial" w:cs="Arial" w:eastAsia="Arial" w:hAnsi="Arial"/>
          <w:sz w:val="24"/>
          <w:szCs w:val="24"/>
        </w:rPr>
        <w:t xml:space="preserve">- совершенствование механизма передачи воздействия мер денежно-кредитной политики на экономику путем повышения эффективности процентного канала денежно-кредитной трансмиссии и развития межбанковского денежного рынка;</w:t>
      </w:r>
    </w:p>
    <w:p>
      <w:pPr>
        <w:spacing w:after="60"/>
        <w:ind w:firstLine="567"/>
        <w:jc w:val="both"/>
      </w:pPr>
      <w:r>
        <w:rPr>
          <w:rFonts w:ascii="Arial" w:cs="Arial" w:eastAsia="Arial" w:hAnsi="Arial"/>
          <w:sz w:val="24"/>
          <w:szCs w:val="24"/>
        </w:rPr>
        <w:t xml:space="preserve">- повышение эффективности и гибкости инструментов денежно-кредитной политики;</w:t>
      </w:r>
    </w:p>
    <w:p>
      <w:pPr>
        <w:spacing w:after="60"/>
        <w:ind w:firstLine="567"/>
        <w:jc w:val="both"/>
      </w:pPr>
      <w:r>
        <w:rPr>
          <w:rFonts w:ascii="Arial" w:cs="Arial" w:eastAsia="Arial" w:hAnsi="Arial"/>
          <w:sz w:val="24"/>
          <w:szCs w:val="24"/>
        </w:rPr>
        <w:t xml:space="preserve">- обеспечение сбалансированности ликвидности в банковской системе;</w:t>
      </w:r>
    </w:p>
    <w:p>
      <w:pPr>
        <w:spacing w:after="60"/>
        <w:ind w:firstLine="567"/>
        <w:jc w:val="both"/>
      </w:pPr>
      <w:r>
        <w:rPr>
          <w:rFonts w:ascii="Arial" w:cs="Arial" w:eastAsia="Arial" w:hAnsi="Arial"/>
          <w:sz w:val="24"/>
          <w:szCs w:val="24"/>
        </w:rPr>
        <w:t xml:space="preserve">- усиление коммуникационной составляющей денежно-кредитной политики.</w:t>
      </w:r>
    </w:p>
    <w:p>
      <w:pPr>
        <w:spacing w:after="60"/>
        <w:ind w:firstLine="567"/>
        <w:jc w:val="both"/>
      </w:pPr>
      <w:r>
        <w:rPr>
          <w:rFonts w:ascii="Arial" w:cs="Arial" w:eastAsia="Arial" w:hAnsi="Arial"/>
          <w:sz w:val="24"/>
          <w:szCs w:val="24"/>
        </w:rPr>
        <w:t xml:space="preserve">Неотъемлемым условием эффективного влияния монетарной политики на экономику является плавающий обменный курс. В этом направлении Национальный банк Кыргызской Республики продолжит следовать принятому Кыргызской Республикой режиму плавающего обменного курса, который определяется соотношением спроса и предложения иностранной валюты на внутреннем валютном рынке. Действия на валютном рынке в зависимости от волатильности и с учетом тренда будут направлены на смягчение резких колебаний обменного курса.</w:t>
      </w:r>
    </w:p>
    <w:p>
      <w:pPr>
        <w:spacing w:after="60"/>
        <w:ind w:firstLine="567"/>
        <w:jc w:val="both"/>
      </w:pPr>
      <w:r>
        <w:rPr>
          <w:rFonts w:ascii="Arial" w:cs="Arial" w:eastAsia="Arial" w:hAnsi="Arial"/>
          <w:sz w:val="24"/>
          <w:szCs w:val="24"/>
        </w:rPr>
        <w:t xml:space="preserve">Учетная ставка Национального банка Кыргызской Республики (ключевая ставка) остается основным инструментом, а краткосрочные процентные ставки денежного рынка - операционным ориентиром денежно-кредитной политики.</w:t>
      </w:r>
    </w:p>
    <w:p>
      <w:pPr>
        <w:spacing w:after="60"/>
        <w:ind w:firstLine="567"/>
        <w:jc w:val="both"/>
      </w:pPr>
      <w:r>
        <w:rPr>
          <w:rFonts w:ascii="Arial" w:cs="Arial" w:eastAsia="Arial" w:hAnsi="Arial"/>
          <w:sz w:val="24"/>
          <w:szCs w:val="24"/>
        </w:rPr>
        <w:t xml:space="preserve">Национальный банк Кыргызской Республики, в целях ограничения инфляционного давления продолжит регулирование уровня избыточной ликвидности в банковской системе посредством проведения операций на открытом рынке и размещения свободных ресурсов коммерческих банков на депозиты "овернайт" в Национальном банке Кыргызской Республики.</w:t>
      </w:r>
    </w:p>
    <w:p>
      <w:pPr>
        <w:spacing w:after="60"/>
        <w:ind w:firstLine="567"/>
        <w:jc w:val="both"/>
      </w:pPr>
      <w:r>
        <w:rPr>
          <w:rFonts w:ascii="Arial" w:cs="Arial" w:eastAsia="Arial" w:hAnsi="Arial"/>
          <w:sz w:val="24"/>
          <w:szCs w:val="24"/>
        </w:rPr>
        <w:t xml:space="preserve">При необходимости Национальный банк Кыргызской Республики рассмотрит возможность проведения операций по предоставлению долгосрочной ликвидности в национальной валюте посредством инструментов рефинансирования, в том числе для поддержания ликвидности банков и для дальнейшего кредитования банками приоритетных отраслей экономики с учетом потребностей банковской системы.</w:t>
      </w:r>
    </w:p>
    <w:p>
      <w:pPr>
        <w:spacing w:after="60"/>
        <w:ind w:firstLine="567"/>
        <w:jc w:val="both"/>
      </w:pPr>
      <w:r>
        <w:rPr>
          <w:rFonts w:ascii="Arial" w:cs="Arial" w:eastAsia="Arial" w:hAnsi="Arial"/>
          <w:sz w:val="24"/>
          <w:szCs w:val="24"/>
        </w:rPr>
        <w:t xml:space="preserve">Для расширения доступа к сберегательным и кредитным продуктам, предоставляемым регулируемыми финансовыми организациями, и повышения уровня финансовой грамотности населения Национальным банком Кыргызской Республики совместно с государственными органами и при содействии Международной финансовой корпорации будет осуществляться реализация стратегии повышения финансовой доступности.</w:t>
      </w:r>
    </w:p>
    <w:p>
      <w:pPr>
        <w:spacing w:after="60"/>
        <w:ind w:firstLine="567"/>
        <w:jc w:val="both"/>
      </w:pPr>
      <w:r>
        <w:rPr>
          <w:rFonts w:ascii="Arial" w:cs="Arial" w:eastAsia="Arial" w:hAnsi="Arial"/>
          <w:sz w:val="24"/>
          <w:szCs w:val="24"/>
        </w:rPr>
        <w:t xml:space="preserve">В целях сохранения стабильности в банковской системе особое внимание будет уделено выявлению и снижению рисков, присущих банковской деятельности, усилению системы управления рисками в коммерческих банках, а также улучшению национальной системы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Будет оказываться дальнейшее содействие развитию цифровых платежных технологий и инструментов, а также цифровизации банковских услуг в целях расширения доступности банковских услуг широкому кругу потребителей. Продолжится работа по дальнейшему внедрению регулирования виртуальных активов и выработке подходов к цифровым валютам.</w:t>
      </w:r>
    </w:p>
    <w:p>
      <w:pPr>
        <w:spacing w:after="60"/>
        <w:ind w:firstLine="567"/>
        <w:jc w:val="both"/>
      </w:pPr>
      <w:r>
        <w:rPr>
          <w:rFonts w:ascii="Arial" w:cs="Arial" w:eastAsia="Arial" w:hAnsi="Arial"/>
          <w:sz w:val="24"/>
          <w:szCs w:val="24"/>
        </w:rPr>
        <w:t xml:space="preserve">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В целях смягчения влияния колебаний курсов иностранных валют на внешних рынках, диверсификации рисков ухудшения стоимости резервных активов Национального банка Кыргызской Республики, накопления золотовалютных резервов, Национальный банк Кыргызской Республики будет осуществлять покупку золота за национальную валюту на внутреннем рынке.</w:t>
      </w:r>
    </w:p>
    <w:p>
      <w:pPr>
        <w:spacing w:after="60" w:before="200"/>
        <w:ind w:firstLine="567"/>
        <w:jc w:val="both"/>
      </w:pPr>
      <w:r>
        <w:rPr>
          <w:rFonts w:ascii="Arial" w:cs="Arial" w:eastAsia="Arial" w:hAnsi="Arial"/>
          <w:b/>
          <w:bCs/>
          <w:sz w:val="24"/>
          <w:szCs w:val="24"/>
        </w:rPr>
        <w:t xml:space="preserve">6.3. Бюджетно-налоговая политика</w:t>
      </w:r>
    </w:p>
    <w:p>
      <w:pPr>
        <w:spacing w:after="60"/>
        <w:ind w:firstLine="567"/>
        <w:jc w:val="both"/>
      </w:pPr>
      <w:r>
        <w:rPr>
          <w:rFonts w:ascii="Arial" w:cs="Arial" w:eastAsia="Arial" w:hAnsi="Arial"/>
          <w:sz w:val="24"/>
          <w:szCs w:val="24"/>
        </w:rPr>
        <w:t xml:space="preserve">Бюджетно-налоговая политика в 2023 году будет направлена на обеспечение стабильного экономического роста и сохранение устойчивости государственного бюджета, что, в свою очередь, означает достижение баланса между экономическим ростом, устойчивостью долговой ситуации и социальными целями.</w:t>
      </w:r>
    </w:p>
    <w:p>
      <w:pPr>
        <w:spacing w:after="60"/>
        <w:ind w:firstLine="567"/>
        <w:jc w:val="both"/>
      </w:pPr>
      <w:r>
        <w:rPr>
          <w:rFonts w:ascii="Arial" w:cs="Arial" w:eastAsia="Arial" w:hAnsi="Arial"/>
          <w:sz w:val="24"/>
          <w:szCs w:val="24"/>
        </w:rPr>
        <w:t xml:space="preserve">Бюджетная политика будет реализовываться в соответствии со </w:t>
      </w:r>
      <w:hyperlink w:history="1" r:id="rIdvvbjgvoyqqzbvpmn1tn8q">
        <w:r>
          <w:rPr>
            <w:rFonts w:ascii="Arial" w:cs="Arial" w:eastAsia="Arial" w:hAnsi="Arial"/>
            <w:color w:val="1D4ED8"/>
            <w:sz w:val="24"/>
            <w:szCs w:val="24"/>
            <w:u w:val="single"/>
          </w:rPr>
          <w:t xml:space="preserve">Стратегией</w:t>
        </w:r>
      </w:hyperlink>
      <w:r>
        <w:rPr>
          <w:rFonts w:ascii="Arial" w:cs="Arial" w:eastAsia="Arial" w:hAnsi="Arial"/>
          <w:sz w:val="24"/>
          <w:szCs w:val="24"/>
        </w:rPr>
        <w:t xml:space="preserve"> развития управления государственными финансами на 2017-2025 годы (</w:t>
      </w:r>
      <w:hyperlink w:history="1" r:id="rIdennkcq7nugohjd6g6zk5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декабря 2016 года № 696), </w:t>
      </w:r>
      <w:hyperlink w:history="1" r:id="rId2zpeihuprt2gnzhfkco5a">
        <w:r>
          <w:rPr>
            <w:rFonts w:ascii="Arial" w:cs="Arial" w:eastAsia="Arial" w:hAnsi="Arial"/>
            <w:color w:val="1D4ED8"/>
            <w:sz w:val="24"/>
            <w:szCs w:val="24"/>
            <w:u w:val="single"/>
          </w:rPr>
          <w:t xml:space="preserve">Основными направлениями</w:t>
        </w:r>
      </w:hyperlink>
      <w:r>
        <w:rPr>
          <w:rFonts w:ascii="Arial" w:cs="Arial" w:eastAsia="Arial" w:hAnsi="Arial"/>
          <w:sz w:val="24"/>
          <w:szCs w:val="24"/>
        </w:rPr>
        <w:t xml:space="preserve"> фискальной политики Кыргызской Республики на 2022-2024 годы (</w:t>
      </w:r>
      <w:hyperlink w:history="1" r:id="rIdwuh2fvj2i3lqx4eat1ts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от 15 сентября 2021 года № 169).</w:t>
      </w:r>
    </w:p>
    <w:p>
      <w:pPr>
        <w:spacing w:after="60"/>
        <w:ind w:firstLine="567"/>
        <w:jc w:val="both"/>
      </w:pPr>
      <w:r>
        <w:rPr>
          <w:rFonts w:ascii="Arial" w:cs="Arial" w:eastAsia="Arial" w:hAnsi="Arial"/>
          <w:sz w:val="24"/>
          <w:szCs w:val="24"/>
        </w:rPr>
        <w:t xml:space="preserve">Реализация бюджетной политики будет достигаться через решение следующих задач:</w:t>
      </w:r>
    </w:p>
    <w:p>
      <w:pPr>
        <w:spacing w:after="60"/>
        <w:ind w:firstLine="567"/>
        <w:jc w:val="both"/>
      </w:pPr>
      <w:r>
        <w:rPr>
          <w:rFonts w:ascii="Arial" w:cs="Arial" w:eastAsia="Arial" w:hAnsi="Arial"/>
          <w:sz w:val="24"/>
          <w:szCs w:val="24"/>
        </w:rPr>
        <w:t xml:space="preserve">- улучшение планирования и исполнения государственного бюджета, включая повышение прозрачности, полноты и достоверности бюджета;</w:t>
      </w:r>
    </w:p>
    <w:p>
      <w:pPr>
        <w:spacing w:after="60"/>
        <w:ind w:firstLine="567"/>
        <w:jc w:val="both"/>
      </w:pPr>
      <w:r>
        <w:rPr>
          <w:rFonts w:ascii="Arial" w:cs="Arial" w:eastAsia="Arial" w:hAnsi="Arial"/>
          <w:sz w:val="24"/>
          <w:szCs w:val="24"/>
        </w:rPr>
        <w:t xml:space="preserve">- улучшение контроля доходов и расходов бюджета;</w:t>
      </w:r>
    </w:p>
    <w:p>
      <w:pPr>
        <w:spacing w:after="60"/>
        <w:ind w:firstLine="567"/>
        <w:jc w:val="both"/>
      </w:pPr>
      <w:r>
        <w:rPr>
          <w:rFonts w:ascii="Arial" w:cs="Arial" w:eastAsia="Arial" w:hAnsi="Arial"/>
          <w:sz w:val="24"/>
          <w:szCs w:val="24"/>
        </w:rPr>
        <w:t xml:space="preserve">- своевременный учет и финансовая отчетность;</w:t>
      </w:r>
    </w:p>
    <w:p>
      <w:pPr>
        <w:spacing w:after="60"/>
        <w:ind w:firstLine="567"/>
        <w:jc w:val="both"/>
      </w:pPr>
      <w:r>
        <w:rPr>
          <w:rFonts w:ascii="Arial" w:cs="Arial" w:eastAsia="Arial" w:hAnsi="Arial"/>
          <w:sz w:val="24"/>
          <w:szCs w:val="24"/>
        </w:rPr>
        <w:t xml:space="preserve">- совершенствование процедур внутреннего и внешнего аудита;</w:t>
      </w:r>
    </w:p>
    <w:p>
      <w:pPr>
        <w:spacing w:after="60"/>
        <w:ind w:firstLine="567"/>
        <w:jc w:val="both"/>
      </w:pPr>
      <w:r>
        <w:rPr>
          <w:rFonts w:ascii="Arial" w:cs="Arial" w:eastAsia="Arial" w:hAnsi="Arial"/>
          <w:sz w:val="24"/>
          <w:szCs w:val="24"/>
        </w:rPr>
        <w:t xml:space="preserve">- активные переговоры с международными финансовыми институтами по предоставлению ресурсов на поддержание республиканского бюджета и меры по экономии бюджетных средств.</w:t>
      </w:r>
    </w:p>
    <w:p>
      <w:pPr>
        <w:spacing w:after="60"/>
        <w:ind w:firstLine="567"/>
        <w:jc w:val="both"/>
      </w:pPr>
      <w:r>
        <w:rPr>
          <w:rFonts w:ascii="Arial" w:cs="Arial" w:eastAsia="Arial" w:hAnsi="Arial"/>
          <w:sz w:val="24"/>
          <w:szCs w:val="24"/>
        </w:rPr>
        <w:t xml:space="preserve">Политика в части управления государственным долгом будет осуществляться путем постепенного снижения бремени долга, в том числе за счет сокращения внешних заимствований при одновременном соблюдении установленного графика выплат по внешнему долгу. В рамках Стратегии управления государственным долгом Кыргызской Республики на 2022-2024 годы (постановление от 1 июля 2022 года, № 357) и в целях достижения устойчивого уровня государственного долга, оптимизации его структуры и создания основы для эффективного управления государственным долгом предполагается:</w:t>
      </w:r>
    </w:p>
    <w:p>
      <w:pPr>
        <w:spacing w:after="60"/>
        <w:ind w:firstLine="567"/>
        <w:jc w:val="both"/>
      </w:pPr>
      <w:r>
        <w:rPr>
          <w:rFonts w:ascii="Arial" w:cs="Arial" w:eastAsia="Arial" w:hAnsi="Arial"/>
          <w:sz w:val="24"/>
          <w:szCs w:val="24"/>
        </w:rPr>
        <w:t xml:space="preserve">- своевременное облуживание государственного долга;</w:t>
      </w:r>
    </w:p>
    <w:p>
      <w:pPr>
        <w:spacing w:after="60"/>
        <w:ind w:firstLine="567"/>
        <w:jc w:val="both"/>
      </w:pPr>
      <w:r>
        <w:rPr>
          <w:rFonts w:ascii="Arial" w:cs="Arial" w:eastAsia="Arial" w:hAnsi="Arial"/>
          <w:sz w:val="24"/>
          <w:szCs w:val="24"/>
        </w:rPr>
        <w:t xml:space="preserve">- рассмотрение возможности дальнейшей реструктуризации внешнего долга;</w:t>
      </w:r>
    </w:p>
    <w:p>
      <w:pPr>
        <w:spacing w:after="60"/>
        <w:ind w:firstLine="567"/>
        <w:jc w:val="both"/>
      </w:pPr>
      <w:r>
        <w:rPr>
          <w:rFonts w:ascii="Arial" w:cs="Arial" w:eastAsia="Arial" w:hAnsi="Arial"/>
          <w:sz w:val="24"/>
          <w:szCs w:val="24"/>
        </w:rPr>
        <w:t xml:space="preserve">- проведение конверсионных операций с двусторонними кредиторами;</w:t>
      </w:r>
    </w:p>
    <w:p>
      <w:pPr>
        <w:spacing w:after="60"/>
        <w:ind w:firstLine="567"/>
        <w:jc w:val="both"/>
      </w:pPr>
      <w:r>
        <w:rPr>
          <w:rFonts w:ascii="Arial" w:cs="Arial" w:eastAsia="Arial" w:hAnsi="Arial"/>
          <w:sz w:val="24"/>
          <w:szCs w:val="24"/>
        </w:rPr>
        <w:t xml:space="preserve">- привлечение льготных внешних кредитов с грант-элементом не менее 35% на эффективные и экономически обоснованные проекты в соответствии с приоритетами;</w:t>
      </w:r>
    </w:p>
    <w:p>
      <w:pPr>
        <w:spacing w:after="60"/>
        <w:ind w:firstLine="567"/>
        <w:jc w:val="both"/>
      </w:pPr>
      <w:r>
        <w:rPr>
          <w:rFonts w:ascii="Arial" w:cs="Arial" w:eastAsia="Arial" w:hAnsi="Arial"/>
          <w:sz w:val="24"/>
          <w:szCs w:val="24"/>
        </w:rPr>
        <w:t xml:space="preserve">- расширение круга держателей государственных ценных бумаг посредством развития как первичного, так и вторичного рынков государственных ценных бумаг;</w:t>
      </w:r>
    </w:p>
    <w:p>
      <w:pPr>
        <w:spacing w:after="60"/>
        <w:ind w:firstLine="567"/>
        <w:jc w:val="both"/>
      </w:pPr>
      <w:r>
        <w:rPr>
          <w:rFonts w:ascii="Arial" w:cs="Arial" w:eastAsia="Arial" w:hAnsi="Arial"/>
          <w:sz w:val="24"/>
          <w:szCs w:val="24"/>
        </w:rPr>
        <w:t xml:space="preserve">- рост объема внутренних заимствований посредством выпуска и размещения государственных ценных бумаг;</w:t>
      </w:r>
    </w:p>
    <w:p>
      <w:pPr>
        <w:spacing w:after="60"/>
        <w:ind w:firstLine="567"/>
        <w:jc w:val="both"/>
      </w:pPr>
      <w:r>
        <w:rPr>
          <w:rFonts w:ascii="Arial" w:cs="Arial" w:eastAsia="Arial" w:hAnsi="Arial"/>
          <w:sz w:val="24"/>
          <w:szCs w:val="24"/>
        </w:rPr>
        <w:t xml:space="preserve">- диверсификация портфеля государственных ценных бумаг.</w:t>
      </w:r>
    </w:p>
    <w:p>
      <w:pPr>
        <w:spacing w:after="60"/>
        <w:ind w:firstLine="567"/>
        <w:jc w:val="both"/>
      </w:pPr>
      <w:r>
        <w:rPr>
          <w:rFonts w:ascii="Arial" w:cs="Arial" w:eastAsia="Arial" w:hAnsi="Arial"/>
          <w:sz w:val="24"/>
          <w:szCs w:val="24"/>
        </w:rPr>
        <w:t xml:space="preserve">В целом проводимая в 2023 году политика, как и прежде, будет направлена на обеспечение бюджетной устойчивости и ориентирована на реализацию следующих направлений: увеличение ресурсного потенциала бюджета; сокращение отрицательного баланса бюджета; повышение эффективности и результативности государственных расходов; сохранение устойчивости государственного внешнего долга и увеличение объемов внутреннего заимствования.</w:t>
      </w:r>
    </w:p>
    <w:p>
      <w:pPr>
        <w:spacing w:after="60"/>
        <w:ind w:firstLine="567"/>
        <w:jc w:val="both"/>
      </w:pPr>
      <w:r>
        <w:rPr>
          <w:rFonts w:ascii="Arial" w:cs="Arial" w:eastAsia="Arial" w:hAnsi="Arial"/>
          <w:sz w:val="24"/>
          <w:szCs w:val="24"/>
        </w:rPr>
        <w:t xml:space="preserve">Налоговая политика будет направлена на реализацию в повседневной практике государственного управления главных принципов, установленных новой редакцией Налогового кодекса Кыргызской Республики, которая направлена на поддержку отечественных производителей, создание эффективных инструментов для вывода отечественной продукции на зарубежные рынки, защиту добросовестного бизнеса и вывод экономики из тени.</w:t>
      </w:r>
    </w:p>
    <w:p>
      <w:pPr>
        <w:spacing w:after="60"/>
        <w:ind w:firstLine="567"/>
        <w:jc w:val="both"/>
      </w:pPr>
      <w:r>
        <w:rPr>
          <w:rFonts w:ascii="Arial" w:cs="Arial" w:eastAsia="Arial" w:hAnsi="Arial"/>
          <w:sz w:val="24"/>
          <w:szCs w:val="24"/>
        </w:rPr>
        <w:t xml:space="preserve">Одним из направлений налоговой политики является создание национального компонента для системы отслеживания и оборота товаров, а также работа по повышению рейтинга Кыргызской Республики на мировой арене по показателю "Налогообложение".</w:t>
      </w:r>
    </w:p>
    <w:p>
      <w:pPr>
        <w:spacing w:after="60"/>
        <w:ind w:firstLine="567"/>
        <w:jc w:val="both"/>
      </w:pPr>
      <w:r>
        <w:rPr>
          <w:rFonts w:ascii="Arial" w:cs="Arial" w:eastAsia="Arial" w:hAnsi="Arial"/>
          <w:sz w:val="24"/>
          <w:szCs w:val="24"/>
        </w:rPr>
        <w:t xml:space="preserve">В целях увеличения доходов бюджета и уменьшения доли теневой экономики будет проводиться активная работа по внедрению электронной системы фискализации налоговых процедур путем полномасштабного внедрения электронных счетов-фактур, электронных товарно-транспортных накладных, ККМ-онлайн и маркировки товаров средствами идентификации, введению системы поощрения налогоплательщиков, системы кэшбэка при выдаче кассовых чеков.</w:t>
      </w:r>
    </w:p>
    <w:p>
      <w:pPr>
        <w:spacing w:after="60" w:before="200"/>
        <w:ind w:firstLine="567"/>
        <w:jc w:val="both"/>
      </w:pPr>
      <w:r>
        <w:rPr>
          <w:rFonts w:ascii="Arial" w:cs="Arial" w:eastAsia="Arial" w:hAnsi="Arial"/>
          <w:b/>
          <w:bCs/>
          <w:sz w:val="24"/>
          <w:szCs w:val="24"/>
        </w:rPr>
        <w:t xml:space="preserve">6.4. Инвестиционная политика и политика в области развития предпринимательства</w:t>
      </w:r>
    </w:p>
    <w:p>
      <w:pPr>
        <w:spacing w:after="60"/>
        <w:ind w:firstLine="567"/>
        <w:jc w:val="both"/>
      </w:pPr>
      <w:r>
        <w:rPr>
          <w:rFonts w:ascii="Arial" w:cs="Arial" w:eastAsia="Arial" w:hAnsi="Arial"/>
          <w:sz w:val="24"/>
          <w:szCs w:val="24"/>
        </w:rPr>
        <w:t xml:space="preserve">Основной целью проведения инвестиционной политики является повышение привлекательности инвестиционного климата в Кыргызской Республике, включая обеспечение защиты собственности и инвестиций при реализации инвестиционных проектов.</w:t>
      </w:r>
    </w:p>
    <w:p>
      <w:pPr>
        <w:spacing w:after="60"/>
        <w:ind w:firstLine="567"/>
        <w:jc w:val="both"/>
      </w:pPr>
      <w:r>
        <w:rPr>
          <w:rFonts w:ascii="Arial" w:cs="Arial" w:eastAsia="Arial" w:hAnsi="Arial"/>
          <w:sz w:val="24"/>
          <w:szCs w:val="24"/>
        </w:rPr>
        <w:t xml:space="preserve">Инвестиции будут привлекаться за счет проектов государственно-частного партнерства, внутренних инвестиций, прямых иностранных инвестиций, а также средств партнеров по развитию.</w:t>
      </w:r>
    </w:p>
    <w:p>
      <w:pPr>
        <w:spacing w:after="60"/>
        <w:ind w:firstLine="567"/>
        <w:jc w:val="both"/>
      </w:pPr>
      <w:r>
        <w:rPr>
          <w:rFonts w:ascii="Arial" w:cs="Arial" w:eastAsia="Arial" w:hAnsi="Arial"/>
          <w:sz w:val="24"/>
          <w:szCs w:val="24"/>
        </w:rPr>
        <w:t xml:space="preserve">В части повышения инвестиционной привлекательности основное внимание будет уделено предоставлению повышенных гарантий безопасности для инвестиций, стабильности режима, простоты регулирования и применения механизмов государственно-частного регулирования.</w:t>
      </w:r>
    </w:p>
    <w:p>
      <w:pPr>
        <w:spacing w:after="60"/>
        <w:ind w:firstLine="567"/>
        <w:jc w:val="both"/>
      </w:pPr>
      <w:r>
        <w:rPr>
          <w:rFonts w:ascii="Arial" w:cs="Arial" w:eastAsia="Arial" w:hAnsi="Arial"/>
          <w:sz w:val="24"/>
          <w:szCs w:val="24"/>
        </w:rPr>
        <w:t xml:space="preserve">Основным направлением будет укрепление и развитие ГЧП в стране для развития инфраструктуры путем объединения ресурсов и опыта государственного и частного секторов для эффективной и правильной реализации экономически и социально значимых, и фискально-устойчивых проектов. Данное направление будет реализовываться в рамках Программы развития государственно-частного партнерства в Кыргызской Республике на 2022-2026 годы (</w:t>
      </w:r>
      <w:hyperlink w:history="1" r:id="rIdf6edaihyrk4n9ox4v515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от 30 июня 2022 года № 353).</w:t>
      </w:r>
    </w:p>
    <w:p>
      <w:pPr>
        <w:spacing w:after="60"/>
        <w:ind w:firstLine="567"/>
        <w:jc w:val="both"/>
      </w:pPr>
      <w:r>
        <w:rPr>
          <w:rFonts w:ascii="Arial" w:cs="Arial" w:eastAsia="Arial" w:hAnsi="Arial"/>
          <w:sz w:val="24"/>
          <w:szCs w:val="24"/>
        </w:rPr>
        <w:t xml:space="preserve">Для финансирования приоритетных программ экономического развития и неотложных мероприятий финансовые ресурсы будут мобилизованы в Стабилизационном фонде.</w:t>
      </w:r>
    </w:p>
    <w:p>
      <w:pPr>
        <w:spacing w:after="60"/>
        <w:ind w:firstLine="567"/>
        <w:jc w:val="both"/>
      </w:pPr>
      <w:r>
        <w:rPr>
          <w:rFonts w:ascii="Arial" w:cs="Arial" w:eastAsia="Arial" w:hAnsi="Arial"/>
          <w:sz w:val="24"/>
          <w:szCs w:val="24"/>
        </w:rPr>
        <w:t xml:space="preserve">Продолжится работа по повышению инвестиционной привлекательности и потенциала регионов страны, в том числе с учетом реализации </w:t>
      </w:r>
      <w:hyperlink w:history="1" r:id="rId0o4bscvkcjfrjjwached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Баткенской области", инвесторы получат все необходимые гарантии в рамках деятельности по инвестированию регионов.</w:t>
      </w:r>
    </w:p>
    <w:p>
      <w:pPr>
        <w:spacing w:after="60"/>
        <w:ind w:firstLine="567"/>
        <w:jc w:val="both"/>
      </w:pPr>
      <w:r>
        <w:rPr>
          <w:rFonts w:ascii="Arial" w:cs="Arial" w:eastAsia="Arial" w:hAnsi="Arial"/>
          <w:sz w:val="24"/>
          <w:szCs w:val="24"/>
        </w:rPr>
        <w:t xml:space="preserve">Будут вестись работы по активизации деятельности инвестиционных фондов - Российско-Кыргызского Фонда развития, Кыргызско-Узбекского Фонда развития, Венгерско-Кыргызского Фонда развития, которые являются эффективной площадкой для привлечения инвестиций и реализации инвестиционных проектов, и способствуют созданию совместных производств и предприятий.</w:t>
      </w:r>
    </w:p>
    <w:p>
      <w:pPr>
        <w:spacing w:after="60"/>
        <w:ind w:firstLine="567"/>
        <w:jc w:val="both"/>
      </w:pPr>
      <w:r>
        <w:rPr>
          <w:rFonts w:ascii="Arial" w:cs="Arial" w:eastAsia="Arial" w:hAnsi="Arial"/>
          <w:sz w:val="24"/>
          <w:szCs w:val="24"/>
        </w:rPr>
        <w:t xml:space="preserve">Средства фондов будут направлены на кредитование приоритетных отраслей экономики, включая такие как агропромышленный комплекс, текстильная промышленность, развитие предпринимательства и т.д.</w:t>
      </w:r>
    </w:p>
    <w:p>
      <w:pPr>
        <w:spacing w:after="60"/>
        <w:ind w:firstLine="567"/>
        <w:jc w:val="both"/>
      </w:pPr>
      <w:r>
        <w:rPr>
          <w:rFonts w:ascii="Arial" w:cs="Arial" w:eastAsia="Arial" w:hAnsi="Arial"/>
          <w:sz w:val="24"/>
          <w:szCs w:val="24"/>
        </w:rPr>
        <w:t xml:space="preserve">Политика по развитию малого и среднего предпринимательства будет проводиться в рамках реализации </w:t>
      </w:r>
      <w:hyperlink w:history="1" r:id="rIdp45ku3zzctoisw0okzek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повышении статуса и имиджа предпринимателей Кыргызской Республики" (от 1 июля 2022 года УП № 212). В целях придания дополнительного импульса развитию предпринимательства будет разработана Деловая повестка бизнеса Кыргызской Республики до 2026 года с ориентиром на создание благоприятных условий для устойчивого развития бизнеса путем:</w:t>
      </w:r>
    </w:p>
    <w:p>
      <w:pPr>
        <w:spacing w:after="60"/>
        <w:ind w:firstLine="567"/>
        <w:jc w:val="both"/>
      </w:pPr>
      <w:r>
        <w:rPr>
          <w:rFonts w:ascii="Arial" w:cs="Arial" w:eastAsia="Arial" w:hAnsi="Arial"/>
          <w:sz w:val="24"/>
          <w:szCs w:val="24"/>
        </w:rPr>
        <w:t xml:space="preserve">- оптимизации налогового администрирования, перехода к сервисной модели обслуживания налогоплательщиков, цифровизации таможенных инфраструктур, сокращения контрольно-надзорных функций;</w:t>
      </w:r>
    </w:p>
    <w:p>
      <w:pPr>
        <w:spacing w:after="60"/>
        <w:ind w:firstLine="567"/>
        <w:jc w:val="both"/>
      </w:pPr>
      <w:r>
        <w:rPr>
          <w:rFonts w:ascii="Arial" w:cs="Arial" w:eastAsia="Arial" w:hAnsi="Arial"/>
          <w:sz w:val="24"/>
          <w:szCs w:val="24"/>
        </w:rPr>
        <w:t xml:space="preserve">- предоставления добросовестным предпринимателям льготных кредитных ресурсов, применения специального режима при осуществлении государственных закупок и иных стимулирующих условий на основе созданного реестра добросовестных предпринимателей Кыргызской Республики, осуществлявших значительный вклад в социально-экономическое развитие страны;</w:t>
      </w:r>
    </w:p>
    <w:p>
      <w:pPr>
        <w:spacing w:after="60"/>
        <w:ind w:firstLine="567"/>
        <w:jc w:val="both"/>
      </w:pPr>
      <w:r>
        <w:rPr>
          <w:rFonts w:ascii="Arial" w:cs="Arial" w:eastAsia="Arial" w:hAnsi="Arial"/>
          <w:sz w:val="24"/>
          <w:szCs w:val="24"/>
        </w:rPr>
        <w:t xml:space="preserve">- дальнейшей защиты прав и интересов предпринимателей через усиление роли бизнес-ассоциаций в государственно-частном диалоге;</w:t>
      </w:r>
    </w:p>
    <w:p>
      <w:pPr>
        <w:spacing w:after="60"/>
        <w:ind w:firstLine="567"/>
        <w:jc w:val="both"/>
      </w:pPr>
      <w:r>
        <w:rPr>
          <w:rFonts w:ascii="Arial" w:cs="Arial" w:eastAsia="Arial" w:hAnsi="Arial"/>
          <w:sz w:val="24"/>
          <w:szCs w:val="24"/>
        </w:rPr>
        <w:t xml:space="preserve">- дальнейшей либерализации регулятивной политики путем наделения бизнеса функциями саморегулирования (передача некоторых государственных и муниципальных контрольных и надзорных функций за деятельностью субъектов предпринимательства).</w:t>
      </w:r>
    </w:p>
    <w:p>
      <w:pPr>
        <w:spacing w:after="60"/>
        <w:ind w:firstLine="567"/>
        <w:jc w:val="both"/>
      </w:pPr>
      <w:r>
        <w:rPr>
          <w:rFonts w:ascii="Arial" w:cs="Arial" w:eastAsia="Arial" w:hAnsi="Arial"/>
          <w:sz w:val="24"/>
          <w:szCs w:val="24"/>
        </w:rPr>
        <w:t xml:space="preserve">Политика по развитию предпринимательства будет направлена на обеспечение защиты предпринимателей от административного давления, установление партнерских взаимоотношений власти и бизнеса, развитие саморегулирования, а также на повышение инвестиционной привлекательности путем соблюдения принципа справедливости и предсказуемости проводимой экономической политики.</w:t>
      </w:r>
    </w:p>
    <w:p>
      <w:pPr>
        <w:spacing w:after="60"/>
        <w:ind w:firstLine="567"/>
        <w:jc w:val="both"/>
      </w:pPr>
      <w:r>
        <w:rPr>
          <w:rFonts w:ascii="Arial" w:cs="Arial" w:eastAsia="Arial" w:hAnsi="Arial"/>
          <w:sz w:val="24"/>
          <w:szCs w:val="24"/>
        </w:rPr>
        <w:t xml:space="preserve">Создание условий для формирования, развития и защиты конкуренции, совершенствование институтов защиты конкуренции остается одним из важных приоритетов государственной политики.</w:t>
      </w:r>
    </w:p>
    <w:p>
      <w:pPr>
        <w:spacing w:after="60" w:before="200"/>
        <w:ind w:firstLine="567"/>
        <w:jc w:val="both"/>
      </w:pPr>
      <w:r>
        <w:rPr>
          <w:rFonts w:ascii="Arial" w:cs="Arial" w:eastAsia="Arial" w:hAnsi="Arial"/>
          <w:b/>
          <w:bCs/>
          <w:sz w:val="24"/>
          <w:szCs w:val="24"/>
        </w:rPr>
        <w:t xml:space="preserve">6.5. Инновационная политика</w:t>
      </w:r>
    </w:p>
    <w:p>
      <w:pPr>
        <w:spacing w:after="60"/>
        <w:ind w:firstLine="567"/>
        <w:jc w:val="both"/>
      </w:pPr>
      <w:r>
        <w:rPr>
          <w:rFonts w:ascii="Arial" w:cs="Arial" w:eastAsia="Arial" w:hAnsi="Arial"/>
          <w:sz w:val="24"/>
          <w:szCs w:val="24"/>
        </w:rPr>
        <w:t xml:space="preserve">Государственная политика в сфере интеллектуальной собственности и инновационной деятельности будет направлена на создание благоприятного экономического климата для осуществления инновационных процессов и создание условий для функционирования рынка интеллектуальной собственности.</w:t>
      </w:r>
    </w:p>
    <w:p>
      <w:pPr>
        <w:spacing w:after="60"/>
        <w:ind w:firstLine="567"/>
        <w:jc w:val="both"/>
      </w:pPr>
      <w:r>
        <w:rPr>
          <w:rFonts w:ascii="Arial" w:cs="Arial" w:eastAsia="Arial" w:hAnsi="Arial"/>
          <w:sz w:val="24"/>
          <w:szCs w:val="24"/>
        </w:rPr>
        <w:t xml:space="preserve">В среднесрочном периоде основной задачей является выведение национальной экономики на качественно новый уровень, осуществление перехода к инновационному пути развития, которая будет реализовано в рамках Государственной программы развития интеллектуальной собственности и инноваций в Кыргызской Республике на 2022-2026 годы (далее - Государственная программа).</w:t>
      </w:r>
    </w:p>
    <w:p>
      <w:pPr>
        <w:spacing w:after="60"/>
        <w:ind w:firstLine="567"/>
        <w:jc w:val="both"/>
      </w:pPr>
      <w:r>
        <w:rPr>
          <w:rFonts w:ascii="Arial" w:cs="Arial" w:eastAsia="Arial" w:hAnsi="Arial"/>
          <w:sz w:val="24"/>
          <w:szCs w:val="24"/>
        </w:rPr>
        <w:t xml:space="preserve">Основной целью Государственной программы является создание условий для формирования сбалансированной и эффективной экосистемы ИС и инноваций в Кыргызской Республике к 2026 году, способствующей развитию рынка ОИС и производства инновационной продукции.</w:t>
      </w:r>
    </w:p>
    <w:p>
      <w:pPr>
        <w:spacing w:after="60"/>
        <w:ind w:firstLine="567"/>
        <w:jc w:val="both"/>
      </w:pPr>
      <w:r>
        <w:rPr>
          <w:rFonts w:ascii="Arial" w:cs="Arial" w:eastAsia="Arial" w:hAnsi="Arial"/>
          <w:sz w:val="24"/>
          <w:szCs w:val="24"/>
        </w:rPr>
        <w:t xml:space="preserve">Указанная цель достигается посредством реализации следующих подцелей:</w:t>
      </w:r>
    </w:p>
    <w:p>
      <w:pPr>
        <w:spacing w:after="60"/>
        <w:ind w:firstLine="567"/>
        <w:jc w:val="both"/>
      </w:pPr>
      <w:r>
        <w:rPr>
          <w:rFonts w:ascii="Arial" w:cs="Arial" w:eastAsia="Arial" w:hAnsi="Arial"/>
          <w:sz w:val="24"/>
          <w:szCs w:val="24"/>
        </w:rPr>
        <w:t xml:space="preserve">- содействие открытию и последующему генерированию идей;</w:t>
      </w:r>
    </w:p>
    <w:p>
      <w:pPr>
        <w:spacing w:after="60"/>
        <w:ind w:firstLine="567"/>
        <w:jc w:val="both"/>
      </w:pPr>
      <w:r>
        <w:rPr>
          <w:rFonts w:ascii="Arial" w:cs="Arial" w:eastAsia="Arial" w:hAnsi="Arial"/>
          <w:sz w:val="24"/>
          <w:szCs w:val="24"/>
        </w:rPr>
        <w:t xml:space="preserve">- мотивирование авторов для создания и распространения творческих работ;</w:t>
      </w:r>
    </w:p>
    <w:p>
      <w:pPr>
        <w:spacing w:after="60"/>
        <w:ind w:firstLine="567"/>
        <w:jc w:val="both"/>
      </w:pPr>
      <w:r>
        <w:rPr>
          <w:rFonts w:ascii="Arial" w:cs="Arial" w:eastAsia="Arial" w:hAnsi="Arial"/>
          <w:sz w:val="24"/>
          <w:szCs w:val="24"/>
        </w:rPr>
        <w:t xml:space="preserve">- совершенствование процесса регистрации ОИС;</w:t>
      </w:r>
    </w:p>
    <w:p>
      <w:pPr>
        <w:spacing w:after="60"/>
        <w:ind w:firstLine="567"/>
        <w:jc w:val="both"/>
      </w:pPr>
      <w:r>
        <w:rPr>
          <w:rFonts w:ascii="Arial" w:cs="Arial" w:eastAsia="Arial" w:hAnsi="Arial"/>
          <w:sz w:val="24"/>
          <w:szCs w:val="24"/>
        </w:rPr>
        <w:t xml:space="preserve">- обеспечение эффективной правовой основы для защиты прав ИС;</w:t>
      </w:r>
    </w:p>
    <w:p>
      <w:pPr>
        <w:spacing w:after="60"/>
        <w:ind w:firstLine="567"/>
        <w:jc w:val="both"/>
      </w:pPr>
      <w:r>
        <w:rPr>
          <w:rFonts w:ascii="Arial" w:cs="Arial" w:eastAsia="Arial" w:hAnsi="Arial"/>
          <w:sz w:val="24"/>
          <w:szCs w:val="24"/>
        </w:rPr>
        <w:t xml:space="preserve">- формирование экосистемы ИС и инноваций для развития рынка ОИС и инновационной продукции.</w:t>
      </w:r>
    </w:p>
    <w:p>
      <w:pPr>
        <w:spacing w:after="60"/>
        <w:ind w:firstLine="567"/>
        <w:jc w:val="both"/>
      </w:pPr>
      <w:r>
        <w:rPr>
          <w:rFonts w:ascii="Arial" w:cs="Arial" w:eastAsia="Arial" w:hAnsi="Arial"/>
          <w:sz w:val="24"/>
          <w:szCs w:val="24"/>
        </w:rPr>
        <w:t xml:space="preserve">Для достижения первой подцели необходимо сделать упор на приоритетное направление по информированию широких слоев населения о значении и роли ИС как действенного инструмента для повышения уровня жизни населения во всех уголках республики.</w:t>
      </w:r>
    </w:p>
    <w:p>
      <w:pPr>
        <w:spacing w:after="60"/>
        <w:ind w:firstLine="567"/>
        <w:jc w:val="both"/>
      </w:pPr>
      <w:r>
        <w:rPr>
          <w:rFonts w:ascii="Arial" w:cs="Arial" w:eastAsia="Arial" w:hAnsi="Arial"/>
          <w:sz w:val="24"/>
          <w:szCs w:val="24"/>
        </w:rPr>
        <w:t xml:space="preserve">Подготовка учащихся общеобразовательных организаций в соответствии с современными образовательными программами, в том числе по концепции STEAM-образования (science - наука, technology - технология, engineering - инженерия, art - искусство, mathematics - математика), позволит вовлечь школьников в исследовательскую, изобретательскую и инновационную деятельность, а также развить в них креативное и критическое мышление путем раскрытия их творческого и интеллектуального потенциала. Это также относится к основным приоритетам по содействию открытию и последующему генерированию идей.</w:t>
      </w:r>
    </w:p>
    <w:p>
      <w:pPr>
        <w:spacing w:after="60"/>
        <w:ind w:firstLine="567"/>
        <w:jc w:val="both"/>
      </w:pPr>
      <w:r>
        <w:rPr>
          <w:rFonts w:ascii="Arial" w:cs="Arial" w:eastAsia="Arial" w:hAnsi="Arial"/>
          <w:sz w:val="24"/>
          <w:szCs w:val="24"/>
        </w:rPr>
        <w:t xml:space="preserve">К приоритетным направлениям второй подцели по мотивированию авторов для создания и распространения творческих работ следует отнести обеспечение условий для самоорганизации авторов, исполнителей и других правообладателей в сфере авторского права и смежных прав, а также создание электронных платформ с целью информирования потенциальных потребителей об ОИС, созданных на территории Кыргызской Республики.</w:t>
      </w:r>
    </w:p>
    <w:p>
      <w:pPr>
        <w:spacing w:after="60"/>
        <w:ind w:firstLine="567"/>
        <w:jc w:val="both"/>
      </w:pPr>
      <w:r>
        <w:rPr>
          <w:rFonts w:ascii="Arial" w:cs="Arial" w:eastAsia="Arial" w:hAnsi="Arial"/>
          <w:sz w:val="24"/>
          <w:szCs w:val="24"/>
        </w:rPr>
        <w:t xml:space="preserve">К приоритетам третьей подцели по совершенствованию процедуры регистрации ОИС относится использование элементов искусственного интеллекта и других цифровых технологий в процессе проведения экспертизы заявок на регистрацию ОИС, а также цифровизация всех этапов рассмотрения заявок на регистрацию ОИС. Данная подцель направлена на усовершенствование процедуры рассмотрения заявок на ОИС и создание благоприятных условий для заявителей при получении правовой охраны на созданные ими объекты. Работа будет направлена на использование передовых информационных сервисов, оптимизирующих процедуры регистрации ОИС и сроков рассмотрения заявок.</w:t>
      </w:r>
    </w:p>
    <w:p>
      <w:pPr>
        <w:spacing w:after="60"/>
        <w:ind w:firstLine="567"/>
        <w:jc w:val="both"/>
      </w:pPr>
      <w:r>
        <w:rPr>
          <w:rFonts w:ascii="Arial" w:cs="Arial" w:eastAsia="Arial" w:hAnsi="Arial"/>
          <w:sz w:val="24"/>
          <w:szCs w:val="24"/>
        </w:rPr>
        <w:t xml:space="preserve">Повышение уровня квалификации сотрудников правоохранительных и судебных органов в области охраны и защиты ИС необходимо обозначить в качестве приоритетного направления четвертой подцели по обеспечению эффективной правовой основы для защиты прав ИС. Не менее значимым приоритетным направлением является совершенствование нормативной правовой базы в области правовой защиты ОИС. Другим важным приоритетом по достижению четвертой подцели выступает пресечение правонарушений в сфере защиты прав ИС, в том числе в цифровой среде.</w:t>
      </w:r>
    </w:p>
    <w:p>
      <w:pPr>
        <w:spacing w:after="60"/>
        <w:ind w:firstLine="567"/>
        <w:jc w:val="both"/>
      </w:pPr>
      <w:r>
        <w:rPr>
          <w:rFonts w:ascii="Arial" w:cs="Arial" w:eastAsia="Arial" w:hAnsi="Arial"/>
          <w:sz w:val="24"/>
          <w:szCs w:val="24"/>
        </w:rPr>
        <w:t xml:space="preserve">В условиях ускоренного перехода национальной экономики на путь инновационного развития, совершенствование правовой базы инновационной деятельности является приоритетом пятой подцели развития экосистемы ИС и инноваций для создания рынка ОИС и инновационной продукции.</w:t>
      </w:r>
    </w:p>
    <w:p>
      <w:pPr>
        <w:spacing w:after="60"/>
        <w:ind w:firstLine="567"/>
        <w:jc w:val="both"/>
      </w:pPr>
      <w:r>
        <w:rPr>
          <w:rFonts w:ascii="Arial" w:cs="Arial" w:eastAsia="Arial" w:hAnsi="Arial"/>
          <w:sz w:val="24"/>
          <w:szCs w:val="24"/>
        </w:rPr>
        <w:t xml:space="preserve">Кроме того, для достижения пятой подцели в качестве приоритета необходимо выделить создание и развитие инфраструктуры для формирования экосистемы ИС и инноваций, обеспечивающей взаимодействие бизнеса и изобретателей, укрепление ценности бренда и деловой репутации отечественных компаний, а также передачу знаний и технологий.</w:t>
      </w:r>
    </w:p>
    <w:p>
      <w:pPr>
        <w:spacing w:after="60" w:before="200"/>
        <w:ind w:firstLine="567"/>
        <w:jc w:val="both"/>
      </w:pPr>
      <w:r>
        <w:rPr>
          <w:rFonts w:ascii="Arial" w:cs="Arial" w:eastAsia="Arial" w:hAnsi="Arial"/>
          <w:b/>
          <w:bCs/>
          <w:sz w:val="24"/>
          <w:szCs w:val="24"/>
        </w:rPr>
        <w:t xml:space="preserve">6.6. Экологическая безопасность и охрана окружающей среды</w:t>
      </w:r>
    </w:p>
    <w:p>
      <w:pPr>
        <w:spacing w:after="60"/>
        <w:ind w:firstLine="567"/>
        <w:jc w:val="both"/>
      </w:pPr>
      <w:r>
        <w:rPr>
          <w:rFonts w:ascii="Arial" w:cs="Arial" w:eastAsia="Arial" w:hAnsi="Arial"/>
          <w:sz w:val="24"/>
          <w:szCs w:val="24"/>
        </w:rPr>
        <w:t xml:space="preserve">Экономическая политика в области охраны окружающей среды и обеспечения экологической безопасности будет ориентирована на рациональное использование природных ресурсов для обеспечения устойчивого экономического роста в рамках Плана мероприятий по реализации </w:t>
      </w:r>
      <w:hyperlink w:history="1" r:id="rIdudulwov1cwnivf1qgfmbl">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обеспечению экологической безопасности и климатической устойчивости Кыргызской Республики" от 19 марта 2021 года № 77.</w:t>
      </w:r>
    </w:p>
    <w:p>
      <w:pPr>
        <w:spacing w:after="60"/>
        <w:ind w:firstLine="567"/>
        <w:jc w:val="both"/>
      </w:pPr>
      <w:r>
        <w:rPr>
          <w:rFonts w:ascii="Arial" w:cs="Arial" w:eastAsia="Arial" w:hAnsi="Arial"/>
          <w:sz w:val="24"/>
          <w:szCs w:val="24"/>
        </w:rPr>
        <w:t xml:space="preserve">Основной задачей является сохранность, воспроизводство и устойчивость окружающей среды и ее многообразия. Первоочередным шагом будет ужесточение политики по отношению вредных выбросов. Должна быть проведена модернизация промышленных объектов, осуществляющих выбросы в атмосферу. Будет реализован План долгосрочных действий по развитию с низким уровнем выбросов парниковых газов в Кыргызской Республике до 2050 года.</w:t>
      </w:r>
    </w:p>
    <w:p>
      <w:pPr>
        <w:spacing w:after="60"/>
        <w:ind w:firstLine="567"/>
        <w:jc w:val="both"/>
      </w:pPr>
      <w:r>
        <w:rPr>
          <w:rFonts w:ascii="Arial" w:cs="Arial" w:eastAsia="Arial" w:hAnsi="Arial"/>
          <w:sz w:val="24"/>
          <w:szCs w:val="24"/>
        </w:rPr>
        <w:t xml:space="preserve">Приоритетными направлениями обеспечения экологической безопасности будут:</w:t>
      </w:r>
    </w:p>
    <w:p>
      <w:pPr>
        <w:spacing w:after="60"/>
        <w:ind w:firstLine="567"/>
        <w:jc w:val="both"/>
      </w:pPr>
      <w:r>
        <w:rPr>
          <w:rFonts w:ascii="Arial" w:cs="Arial" w:eastAsia="Arial" w:hAnsi="Arial"/>
          <w:sz w:val="24"/>
          <w:szCs w:val="24"/>
        </w:rPr>
        <w:t xml:space="preserve">- привлечение финансирования на реализацию программ и проектов в области смягчения изменения климата;</w:t>
      </w:r>
    </w:p>
    <w:p>
      <w:pPr>
        <w:spacing w:after="60"/>
        <w:ind w:firstLine="567"/>
        <w:jc w:val="both"/>
      </w:pPr>
      <w:r>
        <w:rPr>
          <w:rFonts w:ascii="Arial" w:cs="Arial" w:eastAsia="Arial" w:hAnsi="Arial"/>
          <w:sz w:val="24"/>
          <w:szCs w:val="24"/>
        </w:rPr>
        <w:t xml:space="preserve">- пересмотр политики в области транспорта и снижение негативного его эффекта на окружающую среду;</w:t>
      </w:r>
    </w:p>
    <w:p>
      <w:pPr>
        <w:spacing w:after="60"/>
        <w:ind w:firstLine="567"/>
        <w:jc w:val="both"/>
      </w:pPr>
      <w:r>
        <w:rPr>
          <w:rFonts w:ascii="Arial" w:cs="Arial" w:eastAsia="Arial" w:hAnsi="Arial"/>
          <w:sz w:val="24"/>
          <w:szCs w:val="24"/>
        </w:rPr>
        <w:t xml:space="preserve">- формирование благоприятной среды для "зеленой экономики", условий для повышения доступа к ним и стимулирования их внедрения;</w:t>
      </w:r>
    </w:p>
    <w:p>
      <w:pPr>
        <w:spacing w:after="60"/>
        <w:ind w:firstLine="567"/>
        <w:jc w:val="both"/>
      </w:pPr>
      <w:r>
        <w:rPr>
          <w:rFonts w:ascii="Arial" w:cs="Arial" w:eastAsia="Arial" w:hAnsi="Arial"/>
          <w:sz w:val="24"/>
          <w:szCs w:val="24"/>
        </w:rPr>
        <w:t xml:space="preserve">- повсеместное внедрение стандарта ЕВРО-5, ограничение ввоза автомобилей и транспортной техники, не соответствующей указанному стандарту;</w:t>
      </w:r>
    </w:p>
    <w:p>
      <w:pPr>
        <w:spacing w:after="60"/>
        <w:ind w:firstLine="567"/>
        <w:jc w:val="both"/>
      </w:pPr>
      <w:r>
        <w:rPr>
          <w:rFonts w:ascii="Arial" w:cs="Arial" w:eastAsia="Arial" w:hAnsi="Arial"/>
          <w:sz w:val="24"/>
          <w:szCs w:val="24"/>
        </w:rPr>
        <w:t xml:space="preserve">- разработка и реализация программы озеленения городов, сохранения горных лесных экосистем и увеличения площади многолетних искусственных насаждений;</w:t>
      </w:r>
    </w:p>
    <w:p>
      <w:pPr>
        <w:spacing w:after="60"/>
        <w:ind w:firstLine="567"/>
        <w:jc w:val="both"/>
      </w:pPr>
      <w:r>
        <w:rPr>
          <w:rFonts w:ascii="Arial" w:cs="Arial" w:eastAsia="Arial" w:hAnsi="Arial"/>
          <w:sz w:val="24"/>
          <w:szCs w:val="24"/>
        </w:rPr>
        <w:t xml:space="preserve">- внедрение системы мониторинга, отчетности и верификации выбросов парниковых газов (ПГ);</w:t>
      </w:r>
    </w:p>
    <w:p>
      <w:pPr>
        <w:spacing w:after="60"/>
        <w:ind w:firstLine="567"/>
        <w:jc w:val="both"/>
      </w:pPr>
      <w:r>
        <w:rPr>
          <w:rFonts w:ascii="Arial" w:cs="Arial" w:eastAsia="Arial" w:hAnsi="Arial"/>
          <w:sz w:val="24"/>
          <w:szCs w:val="24"/>
        </w:rPr>
        <w:t xml:space="preserve">- обеспечение сохранности всех естественных водных объектов - озер, рек, водоемов, ледников с их биологическим разнообразием;</w:t>
      </w:r>
    </w:p>
    <w:p>
      <w:pPr>
        <w:spacing w:after="60"/>
        <w:ind w:firstLine="567"/>
        <w:jc w:val="both"/>
      </w:pPr>
      <w:r>
        <w:rPr>
          <w:rFonts w:ascii="Arial" w:cs="Arial" w:eastAsia="Arial" w:hAnsi="Arial"/>
          <w:sz w:val="24"/>
          <w:szCs w:val="24"/>
        </w:rPr>
        <w:t xml:space="preserve">- продолжение работы по рекультивации территорий, подвергшихся негативному воздействию производств по добыче и переработке радиоактивных металлов;</w:t>
      </w:r>
    </w:p>
    <w:p>
      <w:pPr>
        <w:spacing w:after="60"/>
        <w:ind w:firstLine="567"/>
        <w:jc w:val="both"/>
      </w:pPr>
      <w:r>
        <w:rPr>
          <w:rFonts w:ascii="Arial" w:cs="Arial" w:eastAsia="Arial" w:hAnsi="Arial"/>
          <w:sz w:val="24"/>
          <w:szCs w:val="24"/>
        </w:rPr>
        <w:t xml:space="preserve">- изучение вопросов возможности вторичного использования радиоактивных отвалов;</w:t>
      </w:r>
    </w:p>
    <w:p>
      <w:pPr>
        <w:spacing w:after="60"/>
        <w:ind w:firstLine="567"/>
        <w:jc w:val="both"/>
      </w:pPr>
      <w:r>
        <w:rPr>
          <w:rFonts w:ascii="Arial" w:cs="Arial" w:eastAsia="Arial" w:hAnsi="Arial"/>
          <w:sz w:val="24"/>
          <w:szCs w:val="24"/>
        </w:rPr>
        <w:t xml:space="preserve">- прохождение экологического аудита промышленными предприятиями на предмет экологической безопасности;</w:t>
      </w:r>
    </w:p>
    <w:p>
      <w:pPr>
        <w:spacing w:after="60"/>
        <w:ind w:firstLine="567"/>
        <w:jc w:val="both"/>
      </w:pPr>
      <w:r>
        <w:rPr>
          <w:rFonts w:ascii="Arial" w:cs="Arial" w:eastAsia="Arial" w:hAnsi="Arial"/>
          <w:sz w:val="24"/>
          <w:szCs w:val="24"/>
        </w:rPr>
        <w:t xml:space="preserve">- повышение энергоэффективности и энергосбережения, в том числе, через широкое внедрение энергосервисных контрактов.</w:t>
      </w:r>
    </w:p>
    <w:p>
      <w:pPr>
        <w:spacing w:after="60" w:before="200"/>
        <w:ind w:firstLine="567"/>
        <w:jc w:val="both"/>
      </w:pPr>
      <w:r>
        <w:rPr>
          <w:rFonts w:ascii="Arial" w:cs="Arial" w:eastAsia="Arial" w:hAnsi="Arial"/>
          <w:b/>
          <w:bCs/>
          <w:sz w:val="24"/>
          <w:szCs w:val="24"/>
        </w:rPr>
        <w:t xml:space="preserve">6.7. Прогноз экономического роста (по производству)</w:t>
      </w:r>
    </w:p>
    <w:p>
      <w:pPr>
        <w:spacing w:after="60"/>
        <w:ind w:firstLine="567"/>
        <w:jc w:val="both"/>
      </w:pPr>
      <w:r>
        <w:rPr>
          <w:rFonts w:ascii="Arial" w:cs="Arial" w:eastAsia="Arial" w:hAnsi="Arial"/>
          <w:sz w:val="24"/>
          <w:szCs w:val="24"/>
        </w:rPr>
        <w:t xml:space="preserve">Реализация указанных политик (6.1-6.6) позволит обеспечить макроэкономическую стабильность. На основе учета вышеуказанных предпосылок и предположений экономический рост на 2023 год прогнозируется на уровне 4,9%, с номинальным объемом 927,0 млрд. сомов, без учета предприятий по разработке месторождения Кумтор - на уровне 4,4%.</w:t>
      </w:r>
    </w:p>
    <w:p>
      <w:pPr>
        <w:spacing w:after="60"/>
        <w:ind w:firstLine="567"/>
        <w:jc w:val="both"/>
      </w:pPr>
      <w:r>
        <w:rPr>
          <w:rFonts w:ascii="Arial" w:cs="Arial" w:eastAsia="Arial" w:hAnsi="Arial"/>
          <w:sz w:val="24"/>
          <w:szCs w:val="24"/>
        </w:rPr>
        <w:t xml:space="preserve">Основные показатели в секторах экономики на 2023 год прогнозируются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9</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отраслям, формирующим ВВП
 (темпы роста приведены по ВДС)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5"/>
        <w:gridCol w:w="1056"/>
        <w:gridCol w:w="926"/>
        <w:gridCol w:w="774"/>
        <w:gridCol w:w="1270"/>
        <w:gridCol w:w="1056"/>
        <w:gridCol w:w="926"/>
        <w:gridCol w:w="774"/>
        <w:gridCol w:w="1270"/>
      </w:tblGrid>
      <w:tr>
        <w:tc>
          <w:tcPr>
            <w:tcW w:type="dxa" w:w="21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824948,9</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926980,6</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w:t>
            </w:r>
          </w:p>
        </w:tc>
      </w:tr>
      <w:tr>
        <w:tc>
          <w:tcPr>
            <w:tcW w:type="dxa" w:w="2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148296,5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165179,9</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r>
      <w:tr>
        <w:tc>
          <w:tcPr>
            <w:tcW w:type="dxa" w:w="2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120029,0</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128827,1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r>
      <w:tr>
        <w:tc>
          <w:tcPr>
            <w:tcW w:type="dxa" w:w="2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67747,7</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77072,0</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r>
      <w:tr>
        <w:tc>
          <w:tcPr>
            <w:tcW w:type="dxa" w:w="2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378522,4</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432197,5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r>
      <w:tr>
        <w:tc>
          <w:tcPr>
            <w:tcW w:type="dxa" w:w="2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110353,2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123704,1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Экономический рост, прогнозируемый на уровне 4,9%, будет поддерживаться со стороны всех отраслей экономики, формирующих ВВП страны. При этом наибольший вклад будет обеспечен со стороны отраслей, оказывающих услуги - 2,08 процентного пункта и промышленности - 1,43 процентного пункта, вклады других отраслей будут умеренными: строительства - 0,41 процентного пункта, сельского хозяйства - 0,32 процентного пункта.</w:t>
      </w:r>
    </w:p>
    <w:p>
      <w:pPr>
        <w:spacing w:after="60"/>
        <w:ind w:firstLine="567"/>
        <w:jc w:val="both"/>
      </w:pPr>
      <w:r>
        <w:rPr>
          <w:rFonts w:ascii="Arial" w:cs="Arial" w:eastAsia="Arial" w:hAnsi="Arial"/>
          <w:sz w:val="24"/>
          <w:szCs w:val="24"/>
        </w:rPr>
        <w:t xml:space="preserve">Складывающиеся тенденции в экономике будут оказывать влияние на структуру ВВП по отраслям экономики, где, как и раньше, основную долю будут занимать отрасли, оказывающие услуги - 46,6%, доля отраслей, производящих товары - 40,0%.</w:t>
      </w:r>
    </w:p>
    <w:p>
      <w:pPr>
        <w:spacing w:after="60" w:before="200"/>
        <w:ind w:firstLine="567"/>
        <w:jc w:val="both"/>
      </w:pPr>
      <w:r>
        <w:rPr>
          <w:rFonts w:ascii="Arial" w:cs="Arial" w:eastAsia="Arial" w:hAnsi="Arial"/>
          <w:b/>
          <w:bCs/>
          <w:sz w:val="24"/>
          <w:szCs w:val="24"/>
        </w:rPr>
        <w:t xml:space="preserve">Развитие реального сектора</w:t>
      </w:r>
    </w:p>
    <w:p>
      <w:pPr>
        <w:spacing w:after="60" w:before="200"/>
        <w:ind w:firstLine="567"/>
        <w:jc w:val="both"/>
      </w:pPr>
      <w:r>
        <w:rPr>
          <w:rFonts w:ascii="Arial" w:cs="Arial" w:eastAsia="Arial" w:hAnsi="Arial"/>
          <w:b/>
          <w:bCs/>
          <w:sz w:val="24"/>
          <w:szCs w:val="24"/>
        </w:rPr>
        <w:t xml:space="preserve">Сельское хозяйство</w:t>
      </w:r>
    </w:p>
    <w:p>
      <w:pPr>
        <w:spacing w:after="60"/>
        <w:ind w:firstLine="567"/>
        <w:jc w:val="both"/>
      </w:pPr>
      <w:r>
        <w:rPr>
          <w:rFonts w:ascii="Arial" w:cs="Arial" w:eastAsia="Arial" w:hAnsi="Arial"/>
          <w:sz w:val="24"/>
          <w:szCs w:val="24"/>
        </w:rPr>
        <w:t xml:space="preserve">Политика развития агропромышленного сектора экономики будет нацелена на принятие согласованных действий для сохранения стабильного и бесперебойного функционирования внутреннего агропродовольственного рынка, а также поиска новых экспортных ниш.</w:t>
      </w:r>
    </w:p>
    <w:p>
      <w:pPr>
        <w:spacing w:after="60"/>
        <w:ind w:firstLine="567"/>
        <w:jc w:val="both"/>
      </w:pPr>
      <w:r>
        <w:rPr>
          <w:rFonts w:ascii="Arial" w:cs="Arial" w:eastAsia="Arial" w:hAnsi="Arial"/>
          <w:sz w:val="24"/>
          <w:szCs w:val="24"/>
        </w:rPr>
        <w:t xml:space="preserve">Приоритетными направлениями развития сельского хозяйства будут:</w:t>
      </w:r>
    </w:p>
    <w:p>
      <w:pPr>
        <w:spacing w:after="60"/>
        <w:ind w:firstLine="567"/>
        <w:jc w:val="both"/>
      </w:pPr>
      <w:r>
        <w:rPr>
          <w:rFonts w:ascii="Arial" w:cs="Arial" w:eastAsia="Arial" w:hAnsi="Arial"/>
          <w:sz w:val="24"/>
          <w:szCs w:val="24"/>
        </w:rPr>
        <w:t xml:space="preserve">- повышение эффективности использования и рыночного оборота земель сельскохозяйственного назначения;</w:t>
      </w:r>
    </w:p>
    <w:p>
      <w:pPr>
        <w:spacing w:after="60"/>
        <w:ind w:firstLine="567"/>
        <w:jc w:val="both"/>
      </w:pPr>
      <w:r>
        <w:rPr>
          <w:rFonts w:ascii="Arial" w:cs="Arial" w:eastAsia="Arial" w:hAnsi="Arial"/>
          <w:sz w:val="24"/>
          <w:szCs w:val="24"/>
        </w:rPr>
        <w:t xml:space="preserve">- внедрение кластерных методов ведения хозяйства в агропромышленном комплексе на национальном и областном уровнях, в том числе организация агрокластеров по переработке молока, мяса, растительного масла, сахара, производству рыбы, меда, картофеля, овощей;</w:t>
      </w:r>
    </w:p>
    <w:p>
      <w:pPr>
        <w:spacing w:after="60"/>
        <w:ind w:firstLine="567"/>
        <w:jc w:val="both"/>
      </w:pPr>
      <w:r>
        <w:rPr>
          <w:rFonts w:ascii="Arial" w:cs="Arial" w:eastAsia="Arial" w:hAnsi="Arial"/>
          <w:sz w:val="24"/>
          <w:szCs w:val="24"/>
        </w:rPr>
        <w:t xml:space="preserve">- разработка механизмов кооперации с отраслевой наукой и кластерными объединениями по улучшению доступа фермеров к инновациям и обеспечению внедрения современных технологий, в том числе ресурсосберегающих технологий в сельском хозяйстве;</w:t>
      </w:r>
    </w:p>
    <w:p>
      <w:pPr>
        <w:spacing w:after="60"/>
        <w:ind w:firstLine="567"/>
        <w:jc w:val="both"/>
      </w:pPr>
      <w:r>
        <w:rPr>
          <w:rFonts w:ascii="Arial" w:cs="Arial" w:eastAsia="Arial" w:hAnsi="Arial"/>
          <w:sz w:val="24"/>
          <w:szCs w:val="24"/>
        </w:rPr>
        <w:t xml:space="preserve">- внедрение цифровых технологий в сельском хозяйстве с элементами электронной коммерции для обеспечения прослеживаемости и безопасности сельскохозяйственной продукции;</w:t>
      </w:r>
    </w:p>
    <w:p>
      <w:pPr>
        <w:spacing w:after="60"/>
        <w:ind w:firstLine="567"/>
        <w:jc w:val="both"/>
      </w:pPr>
      <w:r>
        <w:rPr>
          <w:rFonts w:ascii="Arial" w:cs="Arial" w:eastAsia="Arial" w:hAnsi="Arial"/>
          <w:sz w:val="24"/>
          <w:szCs w:val="24"/>
        </w:rPr>
        <w:t xml:space="preserve">- преодоление мелкотоварного производства путем развития кооперации в сельском хозяйстве;</w:t>
      </w:r>
    </w:p>
    <w:p>
      <w:pPr>
        <w:spacing w:after="60"/>
        <w:ind w:firstLine="567"/>
        <w:jc w:val="both"/>
      </w:pPr>
      <w:r>
        <w:rPr>
          <w:rFonts w:ascii="Arial" w:cs="Arial" w:eastAsia="Arial" w:hAnsi="Arial"/>
          <w:sz w:val="24"/>
          <w:szCs w:val="24"/>
        </w:rPr>
        <w:t xml:space="preserve">- внедрение технологий, направленных на улучшение учета воды в ирригационной сети, а также новых методов управления водными ресурсами и снижение рисков возникновения коррупции в данной сфере, повышение прозрачности использования поливной воды.</w:t>
      </w:r>
    </w:p>
    <w:p>
      <w:pPr>
        <w:spacing w:after="60"/>
        <w:ind w:firstLine="567"/>
        <w:jc w:val="both"/>
      </w:pPr>
      <w:r>
        <w:rPr>
          <w:rFonts w:ascii="Arial" w:cs="Arial" w:eastAsia="Arial" w:hAnsi="Arial"/>
          <w:sz w:val="24"/>
          <w:szCs w:val="24"/>
        </w:rPr>
        <w:t xml:space="preserve">Развитие агропромышленного комплекса будет осуществляться в рамках реализации </w:t>
      </w:r>
      <w:hyperlink w:history="1" r:id="rIddsv4yvvqxhfnftrwur4va">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развитию агропромышленного комплекса Кыргызской Республики" от 8 февраля 2021 года № 25.</w:t>
      </w:r>
    </w:p>
    <w:p>
      <w:pPr>
        <w:spacing w:after="60"/>
        <w:ind w:firstLine="567"/>
        <w:jc w:val="both"/>
      </w:pPr>
      <w:r>
        <w:rPr>
          <w:rFonts w:ascii="Arial" w:cs="Arial" w:eastAsia="Arial" w:hAnsi="Arial"/>
          <w:sz w:val="24"/>
          <w:szCs w:val="24"/>
        </w:rPr>
        <w:t xml:space="preserve">Для продвижения указанных направлений будут реализованы меры, предусмотренные в Национальной стратегии развития Кыргызской Республики на 2018-2040 годы (</w:t>
      </w:r>
      <w:hyperlink w:history="1" r:id="rIdz5b1ys7i03jws-u0--bh9">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31 октября 2018 года № 221) и в </w:t>
      </w:r>
      <w:hyperlink w:history="1" r:id="rIdd_sni9fp8qdflrhvv9va1">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w:t>
      </w:r>
      <w:hyperlink w:history="1" r:id="rIda1fji3y47yqpnpxgc5vdb">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12 октября 2021 года № 435), а также в следующих программных документах:</w:t>
      </w:r>
    </w:p>
    <w:p>
      <w:pPr>
        <w:spacing w:after="60"/>
        <w:ind w:firstLine="567"/>
        <w:jc w:val="both"/>
      </w:pPr>
      <w:r>
        <w:rPr>
          <w:rFonts w:ascii="Arial" w:cs="Arial" w:eastAsia="Arial" w:hAnsi="Arial"/>
          <w:sz w:val="24"/>
          <w:szCs w:val="24"/>
        </w:rPr>
        <w:t xml:space="preserve">- </w:t>
      </w:r>
      <w:hyperlink w:history="1" r:id="rIdzyukzb36hxpifzjtd1nvp">
        <w:r>
          <w:rPr>
            <w:rFonts w:ascii="Arial" w:cs="Arial" w:eastAsia="Arial" w:hAnsi="Arial"/>
            <w:color w:val="1D4ED8"/>
            <w:sz w:val="24"/>
            <w:szCs w:val="24"/>
            <w:u w:val="single"/>
          </w:rPr>
          <w:t xml:space="preserve">Государственная программа</w:t>
        </w:r>
      </w:hyperlink>
      <w:r>
        <w:rPr>
          <w:rFonts w:ascii="Arial" w:cs="Arial" w:eastAsia="Arial" w:hAnsi="Arial"/>
          <w:sz w:val="24"/>
          <w:szCs w:val="24"/>
        </w:rPr>
        <w:t xml:space="preserve"> развития ирригации в Кыргызской Республике на 2017-2026 годы (</w:t>
      </w:r>
      <w:hyperlink w:history="1" r:id="rIdmbdpim9sfop3zc_r8dvr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июля 2017 года № 440), предусматривающая строительство ирригационной инфраструктуры для обеспечения новыми орошаемыми землями сельских жителей;</w:t>
      </w:r>
    </w:p>
    <w:p>
      <w:pPr>
        <w:spacing w:after="60"/>
        <w:ind w:firstLine="567"/>
        <w:jc w:val="both"/>
      </w:pPr>
      <w:r>
        <w:rPr>
          <w:rFonts w:ascii="Arial" w:cs="Arial" w:eastAsia="Arial" w:hAnsi="Arial"/>
          <w:sz w:val="24"/>
          <w:szCs w:val="24"/>
        </w:rPr>
        <w:t xml:space="preserve">- Программа по созданию и развитию торгово-логистических центров сельскохозяйственной продукции в Кыргызской Республике на 2019-2023 годы (</w:t>
      </w:r>
      <w:hyperlink w:history="1" r:id="rId78wrjxgmsmlbhjbnlaqe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июня 2019 года № 321), направленная на поддержку развития рынка сельскохозяйственной продукции и увеличение экспортного потенциала;</w:t>
      </w:r>
    </w:p>
    <w:p>
      <w:pPr>
        <w:spacing w:after="60"/>
        <w:ind w:firstLine="567"/>
        <w:jc w:val="both"/>
      </w:pPr>
      <w:r>
        <w:rPr>
          <w:rFonts w:ascii="Arial" w:cs="Arial" w:eastAsia="Arial" w:hAnsi="Arial"/>
          <w:sz w:val="24"/>
          <w:szCs w:val="24"/>
        </w:rPr>
        <w:t xml:space="preserve">- </w:t>
      </w:r>
      <w:hyperlink w:history="1" r:id="rId4qqaid_cxtuu8wenpouom">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продовольственной безопасности и питания Кыргызской Республики на 2019-2023 годы (</w:t>
      </w:r>
      <w:hyperlink w:history="1" r:id="rIdc7didsyjj504_nvjxrtz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июня 2019 года № 320), направленная на обеспечение продовольственной безопасности страны и оперативного реагирования на внутренние и внешние угрозы стабильности продовольственного рынка Кыргызской Республики;</w:t>
      </w:r>
    </w:p>
    <w:p>
      <w:pPr>
        <w:spacing w:after="60"/>
        <w:ind w:firstLine="567"/>
        <w:jc w:val="both"/>
      </w:pPr>
      <w:r>
        <w:rPr>
          <w:rFonts w:ascii="Arial" w:cs="Arial" w:eastAsia="Arial" w:hAnsi="Arial"/>
          <w:sz w:val="24"/>
          <w:szCs w:val="24"/>
        </w:rPr>
        <w:t xml:space="preserve">- </w:t>
      </w:r>
      <w:hyperlink w:history="1" r:id="rIdmubqanioph3b7wvmm2xcu">
        <w:r>
          <w:rPr>
            <w:rFonts w:ascii="Arial" w:cs="Arial" w:eastAsia="Arial" w:hAnsi="Arial"/>
            <w:color w:val="1D4ED8"/>
            <w:sz w:val="24"/>
            <w:szCs w:val="24"/>
            <w:u w:val="single"/>
          </w:rPr>
          <w:t xml:space="preserve">Рамочная программа</w:t>
        </w:r>
      </w:hyperlink>
      <w:r>
        <w:rPr>
          <w:rFonts w:ascii="Arial" w:cs="Arial" w:eastAsia="Arial" w:hAnsi="Arial"/>
          <w:sz w:val="24"/>
          <w:szCs w:val="24"/>
        </w:rPr>
        <w:t xml:space="preserve"> по обеспечению фитосанитарной безопасности в Кыргызской Республике на 2019-2023 годы (</w:t>
      </w:r>
      <w:hyperlink w:history="1" r:id="rId6ty106btwncztxyouep8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июля 2019 года № 354), предусматривающая создание условий, обеспечивающих фитосанитарную безопасность на территории Кыргызской Республики (обеспечение достаточного потенциала (фитосанитарного и правового) карантина растений; применение фитосанитарных мер в отношении импорта для защиты растительных ресурсов страны; создание надежной системы сертификации экспорта для международной торговли продукцией растительного происхождения; создание соответствующей инфраструктуры в сфере карантина растений);</w:t>
      </w:r>
    </w:p>
    <w:p>
      <w:pPr>
        <w:spacing w:after="60"/>
        <w:ind w:firstLine="567"/>
        <w:jc w:val="both"/>
      </w:pPr>
      <w:r>
        <w:rPr>
          <w:rFonts w:ascii="Arial" w:cs="Arial" w:eastAsia="Arial" w:hAnsi="Arial"/>
          <w:sz w:val="24"/>
          <w:szCs w:val="24"/>
        </w:rPr>
        <w:t xml:space="preserve">- </w:t>
      </w:r>
      <w:hyperlink w:history="1" r:id="rId5m5iunn0vzaxxyjod4erj">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рыболовства и аквакультуры в Кыргызской Республике на 2019-2023 годы (</w:t>
      </w:r>
      <w:hyperlink w:history="1" r:id="rIdtm6vdqphls0vin4sem-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октября 2019 года № 546), направленная на поддержку развития рынка сельскохозяйственной продукции и увеличение экспортного потенциала;</w:t>
      </w:r>
    </w:p>
    <w:p>
      <w:pPr>
        <w:spacing w:after="60"/>
        <w:ind w:firstLine="567"/>
        <w:jc w:val="both"/>
      </w:pPr>
      <w:r>
        <w:rPr>
          <w:rFonts w:ascii="Arial" w:cs="Arial" w:eastAsia="Arial" w:hAnsi="Arial"/>
          <w:sz w:val="24"/>
          <w:szCs w:val="24"/>
        </w:rPr>
        <w:t xml:space="preserve">- </w:t>
      </w:r>
      <w:hyperlink w:history="1" r:id="rIdm0hbfbhf8z9sfhtwy_ii2">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Правительства Кыргызской Республики "Развитие ветеринарной службы Кыргызской Республики на 2018-2023 годы" (</w:t>
      </w:r>
      <w:hyperlink w:history="1" r:id="rIdm6irxfnrmkralrtpynh7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октября 2017 года № 673), предусматривающая защиту населения от болезней, общих для человека и животных, предупреждение и ликвидацию заразных и массовых незаразных болезней животных, обеспечение безопасности продуктов животного и растительного происхождения в ветеринарно-санитарном отношении.</w:t>
      </w:r>
    </w:p>
    <w:p>
      <w:pPr>
        <w:spacing w:after="60"/>
        <w:ind w:firstLine="567"/>
        <w:jc w:val="both"/>
      </w:pPr>
      <w:r>
        <w:rPr>
          <w:rFonts w:ascii="Arial" w:cs="Arial" w:eastAsia="Arial" w:hAnsi="Arial"/>
          <w:sz w:val="24"/>
          <w:szCs w:val="24"/>
        </w:rPr>
        <w:t xml:space="preserve">Вследствие реализации мер, предусмотренных в вышеперечисленных программных документах, валовой выпуск продукции сельского хозяйства, лесного хозяйства и рыболовства на 2023 год прогнозируется в объеме 393,5 млрд. сомов, а темп реального прироста - на уровне 2,2%, за счет прироста в растениеводстве - на 2,2% и животноводстве - на 2,2%.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сельском хозяйстве на 2022-2023 годы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6"/>
        <w:gridCol w:w="1398"/>
        <w:gridCol w:w="822"/>
        <w:gridCol w:w="1398"/>
        <w:gridCol w:w="822"/>
      </w:tblGrid>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366612,8</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393485,3</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194134,8</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211502,3</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165038,5</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174472,1</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b/>
          <w:bCs/>
          <w:sz w:val="24"/>
          <w:szCs w:val="24"/>
        </w:rPr>
        <w:t xml:space="preserve">Растениеводство.</w:t>
      </w:r>
      <w:r>
        <w:rPr>
          <w:rFonts w:ascii="Arial" w:cs="Arial" w:eastAsia="Arial" w:hAnsi="Arial"/>
          <w:sz w:val="24"/>
          <w:szCs w:val="24"/>
        </w:rPr>
        <w:t xml:space="preserve"> Наращивание производства продукции растениеводства на 2,2% будет обусловлено увеличением производства следующих видов сельскохозяйственных культур:</w:t>
      </w:r>
    </w:p>
    <w:p>
      <w:pPr>
        <w:spacing w:after="60"/>
        <w:ind w:firstLine="567"/>
        <w:jc w:val="both"/>
      </w:pPr>
      <w:r>
        <w:rPr>
          <w:rFonts w:ascii="Arial" w:cs="Arial" w:eastAsia="Arial" w:hAnsi="Arial"/>
          <w:sz w:val="24"/>
          <w:szCs w:val="24"/>
        </w:rPr>
        <w:t xml:space="preserve">сахарная свекла - на 55,7%, в связи с расширением посевной площади до 14,5 тыс. га, что на 5,2 тыс. га больше по сравнению с 2022 годом, в целях достижения полной обеспеченности сахаром за счет собственного производства;</w:t>
      </w:r>
    </w:p>
    <w:p>
      <w:pPr>
        <w:spacing w:after="60"/>
        <w:ind w:firstLine="567"/>
        <w:jc w:val="both"/>
      </w:pPr>
      <w:r>
        <w:rPr>
          <w:rFonts w:ascii="Arial" w:cs="Arial" w:eastAsia="Arial" w:hAnsi="Arial"/>
          <w:sz w:val="24"/>
          <w:szCs w:val="24"/>
        </w:rPr>
        <w:t xml:space="preserve">зерновые и масличные культуры - рост производства, соответственно, на 8,0% и 52,4%, что обусловлено прогнозируемым высоким спросом на мировых рынках и, соответственно, закупочными ценами на данные виды культур;</w:t>
      </w:r>
    </w:p>
    <w:p>
      <w:pPr>
        <w:spacing w:after="60"/>
        <w:ind w:firstLine="567"/>
        <w:jc w:val="both"/>
      </w:pPr>
      <w:r>
        <w:rPr>
          <w:rFonts w:ascii="Arial" w:cs="Arial" w:eastAsia="Arial" w:hAnsi="Arial"/>
          <w:sz w:val="24"/>
          <w:szCs w:val="24"/>
        </w:rPr>
        <w:t xml:space="preserve">картофель - на 2,2%, овощи - на 0,3%, в целях увеличения доли экспорта в зарубежные страны. Прогнозируется расширение посевных площадей картофеля на 1,0 тыс. га (до 76,0 тыс. га) и овощей - на прежнем уровне посева (54,0 тыс. га); урожайности - на 1,4 ц/га (до 173,5 ц/га) и на 0,3 ц/га (до 202,3 ц/га) соответственно;</w:t>
      </w:r>
    </w:p>
    <w:p>
      <w:pPr>
        <w:spacing w:after="60"/>
        <w:ind w:firstLine="567"/>
        <w:jc w:val="both"/>
      </w:pPr>
      <w:r>
        <w:rPr>
          <w:rFonts w:ascii="Arial" w:cs="Arial" w:eastAsia="Arial" w:hAnsi="Arial"/>
          <w:sz w:val="24"/>
          <w:szCs w:val="24"/>
        </w:rPr>
        <w:t xml:space="preserve">хлопок-сырец - на 8,3%, что обусловлено прогнозируемым высоким спросом на мировых рынках и, соответственно, закупочными ценами на данный вид сельскохозяйственной культуры.</w:t>
      </w:r>
    </w:p>
    <w:p>
      <w:pPr>
        <w:spacing w:after="60"/>
        <w:ind w:firstLine="567"/>
        <w:jc w:val="both"/>
      </w:pPr>
      <w:r>
        <w:rPr>
          <w:rFonts w:ascii="Arial" w:cs="Arial" w:eastAsia="Arial" w:hAnsi="Arial"/>
          <w:sz w:val="24"/>
          <w:szCs w:val="24"/>
        </w:rPr>
        <w:t xml:space="preserve">Прогнозируемые показатели роста обусловливаются благоприятным влиянием природно-климатического фактора, продолжением оказания государственной поддержки в выделении горюче-смазочных материалов в периоды проведения весенне-полевых и осенне-уборочных работ, обеспечением фермеров необходимой сельскохозяйственной техникой на льготных кредитных условиях путем закупки сельскохозяйственной техники по лизингу, решением проблемы с обеспечением крестьян и фермеров азотными минеральными удобрениями, продолжением развития тепличных хозяйств и наращиванием объемов производства в хозяйстве, специализацией регионов на выращивании технических культур, реализация которых будет иметь наибольший положительный эффект для благосостояния сельскохозяйственных производителей.</w:t>
      </w:r>
    </w:p>
    <w:p>
      <w:pPr>
        <w:spacing w:after="60"/>
        <w:ind w:firstLine="567"/>
        <w:jc w:val="both"/>
      </w:pPr>
      <w:r>
        <w:rPr>
          <w:rFonts w:ascii="Arial" w:cs="Arial" w:eastAsia="Arial" w:hAnsi="Arial"/>
          <w:b/>
          <w:bCs/>
          <w:sz w:val="24"/>
          <w:szCs w:val="24"/>
        </w:rPr>
        <w:t xml:space="preserve">Животноводство.</w:t>
      </w:r>
      <w:r>
        <w:rPr>
          <w:rFonts w:ascii="Arial" w:cs="Arial" w:eastAsia="Arial" w:hAnsi="Arial"/>
          <w:sz w:val="24"/>
          <w:szCs w:val="24"/>
        </w:rPr>
        <w:t xml:space="preserve"> В производстве продукции животноводства реальный прирост на уровне 2,2% будет достигнут путем обеспечения благополучия эпизоотической обстановки в животноводстве по острозаразным болезням, увеличения в севообороте площадей многолетних трав и рационального использования кормового потенциала пастбищ, внедрения инновационных технологий в производстве. При этом рост производства мяса в живом весе прогнозируется на 2,1% и увеличится, по сравнению с предыдущим годом, на 9,2 тыс. тонн (до 446,7 тыс. тонн), молока - на 2,5% с увеличением на 33,9 тыс. тонн (до 1777,8 тыс. тонн), яиц - на 1,6% с увеличением на 9,1 млн. штук (до 581,6 млн. штук) и шерсти - на 0,8% с увеличением на 0,1 тыс. тонн (до 13,3 тыс. тонн).</w:t>
      </w:r>
    </w:p>
    <w:p>
      <w:pPr>
        <w:spacing w:after="60"/>
        <w:ind w:firstLine="567"/>
        <w:jc w:val="both"/>
      </w:pPr>
      <w:r>
        <w:rPr>
          <w:rFonts w:ascii="Arial" w:cs="Arial" w:eastAsia="Arial" w:hAnsi="Arial"/>
          <w:sz w:val="24"/>
          <w:szCs w:val="24"/>
        </w:rPr>
        <w:t xml:space="preserve">Основными рисками в данном секторе являются:</w:t>
      </w:r>
    </w:p>
    <w:p>
      <w:pPr>
        <w:spacing w:after="60"/>
        <w:ind w:firstLine="567"/>
        <w:jc w:val="both"/>
      </w:pPr>
      <w:r>
        <w:rPr>
          <w:rFonts w:ascii="Arial" w:cs="Arial" w:eastAsia="Arial" w:hAnsi="Arial"/>
          <w:sz w:val="24"/>
          <w:szCs w:val="24"/>
        </w:rPr>
        <w:t xml:space="preserve">- неблагоприятные природно-климатические условия;</w:t>
      </w:r>
    </w:p>
    <w:p>
      <w:pPr>
        <w:spacing w:after="60"/>
        <w:ind w:firstLine="567"/>
        <w:jc w:val="both"/>
      </w:pPr>
      <w:r>
        <w:rPr>
          <w:rFonts w:ascii="Arial" w:cs="Arial" w:eastAsia="Arial" w:hAnsi="Arial"/>
          <w:sz w:val="24"/>
          <w:szCs w:val="24"/>
        </w:rPr>
        <w:t xml:space="preserve">- дальнейшее истощение генофонда, что приведет к снижению производительности сельскохозяйственных животных;</w:t>
      </w:r>
    </w:p>
    <w:p>
      <w:pPr>
        <w:spacing w:after="60"/>
        <w:ind w:firstLine="567"/>
        <w:jc w:val="both"/>
      </w:pPr>
      <w:r>
        <w:rPr>
          <w:rFonts w:ascii="Arial" w:cs="Arial" w:eastAsia="Arial" w:hAnsi="Arial"/>
          <w:sz w:val="24"/>
          <w:szCs w:val="24"/>
        </w:rPr>
        <w:t xml:space="preserve">- повышение цен на горюче-смазочные материалы в период проведения весенне-полевых, а также уборочных работ в связи с нестабильной ситуацией на мировом рынке, а также волатильностью курса доллара;</w:t>
      </w:r>
    </w:p>
    <w:p>
      <w:pPr>
        <w:spacing w:after="60"/>
        <w:ind w:firstLine="567"/>
        <w:jc w:val="both"/>
      </w:pPr>
      <w:r>
        <w:rPr>
          <w:rFonts w:ascii="Arial" w:cs="Arial" w:eastAsia="Arial" w:hAnsi="Arial"/>
          <w:sz w:val="24"/>
          <w:szCs w:val="24"/>
        </w:rPr>
        <w:t xml:space="preserve">- плохое качество семенного материала при посеве, что повлияет на урожайность сельскохозяйственных культур;</w:t>
      </w:r>
    </w:p>
    <w:p>
      <w:pPr>
        <w:spacing w:after="60"/>
        <w:ind w:firstLine="567"/>
        <w:jc w:val="both"/>
      </w:pPr>
      <w:r>
        <w:rPr>
          <w:rFonts w:ascii="Arial" w:cs="Arial" w:eastAsia="Arial" w:hAnsi="Arial"/>
          <w:sz w:val="24"/>
          <w:szCs w:val="24"/>
        </w:rPr>
        <w:t xml:space="preserve">- нерациональное использование водных ресурсов при проведении ирригационных работ.</w:t>
      </w:r>
    </w:p>
    <w:p>
      <w:pPr>
        <w:spacing w:after="60" w:before="200"/>
        <w:ind w:firstLine="567"/>
        <w:jc w:val="both"/>
      </w:pPr>
      <w:r>
        <w:rPr>
          <w:rFonts w:ascii="Arial" w:cs="Arial" w:eastAsia="Arial" w:hAnsi="Arial"/>
          <w:b/>
          <w:bCs/>
          <w:sz w:val="24"/>
          <w:szCs w:val="24"/>
        </w:rPr>
        <w:t xml:space="preserve">Промышленность(3)</w:t>
      </w:r>
    </w:p>
    <w:p>
      <w:pPr>
        <w:spacing w:after="60"/>
        <w:ind w:firstLine="567"/>
        <w:jc w:val="both"/>
      </w:pPr>
      <w:r>
        <w:rPr>
          <w:rFonts w:ascii="Arial" w:cs="Arial" w:eastAsia="Arial" w:hAnsi="Arial"/>
          <w:sz w:val="24"/>
          <w:szCs w:val="24"/>
        </w:rPr>
        <w:t xml:space="preserve">Основной объем промышленной продукции (более 90%) производится пятью экономикообразующими отраслями: производство основных металлов с удельным весом - 53,7%; производство пищевых продуктов, включая напитки и табак - 11,6%; текстильное производство, производство одежды и обуви, кожи и прочих кожаных изделий - 2%; производство резиновых и пластмассовых изделий, прочих неметаллических минеральных продуктов - 6,6%, добыча полезных ископаемых - 9,2% и обеспечение (снабжение) электроэнергией, газом, паром и кондиционированным воздухом с удельным весом - 10,6%.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4"/>
          <w:szCs w:val="24"/>
        </w:rPr>
        <w:t xml:space="preserve">В данной отрасли будет продолжена реализация основных стратегических направлений промышленной политики - содействие инвестициям, экспорту и кооперации, стимулирование развития переработки отечественного сырья, обеспечение электроэнергией потребностей экономики, повышение устойчивости энергоснабжения потребителей и обеспечение достоверности учета произведенной и распределенной электроэнергии, создание различных форм кооперации сельского хозяйства с перерабатывающей промышленностью и торговлей, устойчивое развитие горнодобывающей отрасли при рациональном использовании минерально-сырьевого потенциала и минимизации воздействия на окружающую среду и др.</w:t>
      </w:r>
    </w:p>
    <w:p>
      <w:pPr>
        <w:spacing w:after="60"/>
        <w:ind w:firstLine="567"/>
        <w:jc w:val="both"/>
      </w:pPr>
      <w:r>
        <w:rPr>
          <w:rFonts w:ascii="Arial" w:cs="Arial" w:eastAsia="Arial" w:hAnsi="Arial"/>
          <w:sz w:val="24"/>
          <w:szCs w:val="24"/>
        </w:rPr>
        <w:t xml:space="preserve">Важными факторами в развитии промышленности станут:</w:t>
      </w:r>
    </w:p>
    <w:p>
      <w:pPr>
        <w:spacing w:after="60"/>
        <w:ind w:firstLine="567"/>
        <w:jc w:val="both"/>
      </w:pPr>
      <w:r>
        <w:rPr>
          <w:rFonts w:ascii="Arial" w:cs="Arial" w:eastAsia="Arial" w:hAnsi="Arial"/>
          <w:sz w:val="24"/>
          <w:szCs w:val="24"/>
        </w:rPr>
        <w:t xml:space="preserve">- обновление технологической базы отраслей промышленности;</w:t>
      </w:r>
    </w:p>
    <w:p>
      <w:pPr>
        <w:spacing w:after="60"/>
        <w:ind w:firstLine="567"/>
        <w:jc w:val="both"/>
      </w:pPr>
      <w:r>
        <w:rPr>
          <w:rFonts w:ascii="Arial" w:cs="Arial" w:eastAsia="Arial" w:hAnsi="Arial"/>
          <w:sz w:val="24"/>
          <w:szCs w:val="24"/>
        </w:rPr>
        <w:t xml:space="preserve">- стимулирование научных исследований и разработок, направленных на создание новых технологий и материалов;</w:t>
      </w:r>
    </w:p>
    <w:p>
      <w:pPr>
        <w:spacing w:after="60"/>
        <w:ind w:firstLine="567"/>
        <w:jc w:val="both"/>
      </w:pPr>
      <w:r>
        <w:rPr>
          <w:rFonts w:ascii="Arial" w:cs="Arial" w:eastAsia="Arial" w:hAnsi="Arial"/>
          <w:sz w:val="24"/>
          <w:szCs w:val="24"/>
        </w:rPr>
        <w:t xml:space="preserve">- обеспечение для компаний равных условий конкуренции на внутреннем и внешних рынках, а также развитие конкуренции на внутренних рынках, в том числе через поэтапное сокращение доли государства в капитале компаний;</w:t>
      </w:r>
    </w:p>
    <w:p>
      <w:pPr>
        <w:spacing w:after="60"/>
        <w:ind w:firstLine="567"/>
        <w:jc w:val="both"/>
      </w:pPr>
      <w:r>
        <w:rPr>
          <w:rFonts w:ascii="Arial" w:cs="Arial" w:eastAsia="Arial" w:hAnsi="Arial"/>
          <w:sz w:val="24"/>
          <w:szCs w:val="24"/>
        </w:rPr>
        <w:t xml:space="preserve">- стимулирование экспорта продукции с высокой добавленной стоимостью;</w:t>
      </w:r>
    </w:p>
    <w:p>
      <w:pPr>
        <w:spacing w:after="60"/>
        <w:ind w:firstLine="567"/>
        <w:jc w:val="both"/>
      </w:pPr>
      <w:r>
        <w:rPr>
          <w:rFonts w:ascii="Arial" w:cs="Arial" w:eastAsia="Arial" w:hAnsi="Arial"/>
          <w:sz w:val="24"/>
          <w:szCs w:val="24"/>
        </w:rPr>
        <w:t xml:space="preserve">- создание инновационной инфраструктуры для развития новых отраслей; вопросы размещения производительных сил в промышленных зонах городов;</w:t>
      </w:r>
    </w:p>
    <w:p>
      <w:pPr>
        <w:spacing w:after="60"/>
        <w:ind w:firstLine="567"/>
        <w:jc w:val="both"/>
      </w:pPr>
      <w:r>
        <w:rPr>
          <w:rFonts w:ascii="Arial" w:cs="Arial" w:eastAsia="Arial" w:hAnsi="Arial"/>
          <w:sz w:val="24"/>
          <w:szCs w:val="24"/>
        </w:rPr>
        <w:t xml:space="preserve">- снятие регуляторных барьеров для вывода на рынок инновационной продукции и др.</w:t>
      </w:r>
    </w:p>
    <w:p>
      <w:pPr>
        <w:spacing w:after="60"/>
        <w:ind w:firstLine="567"/>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активизации деятельности действующих предприятий, предприятий с государственной долей участия и запуска новых производств, простаивающих предприятий. Для этого будут активизированы деятельности вновь созданных ОАО "Кыргызиндустрия" и ОАО "Национальная холдинговая компания "Наследие великих кочевников" по привлечению инвестиций, взаимодействию с международными корпорациями, созданию совместных предприятий.</w:t>
      </w:r>
    </w:p>
    <w:p>
      <w:pPr>
        <w:spacing w:after="60"/>
        <w:ind w:firstLine="567"/>
        <w:jc w:val="both"/>
      </w:pPr>
      <w:r>
        <w:rPr>
          <w:rFonts w:ascii="Arial" w:cs="Arial" w:eastAsia="Arial" w:hAnsi="Arial"/>
          <w:sz w:val="24"/>
          <w:szCs w:val="24"/>
        </w:rPr>
        <w:t xml:space="preserve">Стимулированию процесса обновления основных фондов будет способствовать освобождение поставок по лизинговым операциям от налога на добавленную стоимость и налога с продаж. Для привлечения инвесторов планируется создание экспортно-промышленных зон для производства современных видов продукций.</w:t>
      </w:r>
    </w:p>
    <w:p>
      <w:pPr>
        <w:spacing w:after="60"/>
        <w:ind w:firstLine="567"/>
        <w:jc w:val="both"/>
      </w:pPr>
      <w:r>
        <w:rPr>
          <w:rFonts w:ascii="Arial" w:cs="Arial" w:eastAsia="Arial" w:hAnsi="Arial"/>
          <w:sz w:val="24"/>
          <w:szCs w:val="24"/>
        </w:rPr>
        <w:t xml:space="preserve">Для продвижения указанных направлений будут реализованы меры, предусмотренные в </w:t>
      </w:r>
      <w:hyperlink w:history="1" r:id="rIda00qk11ysa9vobvmuo3mi">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w:t>
      </w:r>
      <w:hyperlink w:history="1" r:id="rIdgpfsdf_wi-jsm-7sfpvdb">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12 октября 2021 года № 435), Стратегии устойчивого развития промышленности Кыргызской Республики на 2019-2023 годы (</w:t>
      </w:r>
      <w:hyperlink w:history="1" r:id="rIdfzfolqvbgu5mgmx-zbed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сентября 2019 года № 502), </w:t>
      </w:r>
      <w:hyperlink w:history="1" r:id="rId8oumocmcxkatb1dt3y4dv">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 Республики "О вопросах реформирования горнодобывающей отрасли Кыргызской Республики" от 29 января 2021 года № 5, Дорожной карте по исполнению решения Совета Безопасности Кыргызской Республики от 26 ноября 2021 года № 5 "О мерах по обеспечению энергетической безопасности Кыргызской Республики", Дорожной карте по реализации Концепции реструктуризации системы управления энергетической отраслью Кыргызской Республики (</w:t>
      </w:r>
      <w:hyperlink w:history="1" r:id="rIdkzirqsuyl2he9kl9ejoau">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Кабинета Министров Кыргызской Республики от 8 февраля 2022 года № 51-р), Плане мероприятий по реализации Программы развития "зеленой" экономики в Кыргызской Республике на 2019-2023 годы (</w:t>
      </w:r>
      <w:hyperlink w:history="1" r:id="rIdnfkqirwjkvumgov8tojc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от 24 июня 2022 года № 349), Дорожной карте по проведению Года защиты горных экосистем и климатической устойчивости (</w:t>
      </w:r>
      <w:hyperlink w:history="1" r:id="rIdta_xatm1anhynou6j_d3w">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Кабинета Министров Кыргызской Республики от 1 марта 2022 года № 95-р). Проводится работа по разработке Программы развития легкой промышленности Кыргызской Республики на период с 2022-2026 годы, где закладываются основы для формирования устойчивого спроса и признания продукции легкой промышленности Кыргызской Республики в сетевых торговых комплексах стран-участниц ЕАЭС с перспективой выхода на международные рынки.</w:t>
      </w:r>
    </w:p>
    <w:p>
      <w:pPr>
        <w:spacing w:after="60"/>
        <w:ind w:firstLine="567"/>
        <w:jc w:val="both"/>
      </w:pPr>
      <w:r>
        <w:rPr>
          <w:rFonts w:ascii="Arial" w:cs="Arial" w:eastAsia="Arial" w:hAnsi="Arial"/>
          <w:sz w:val="24"/>
          <w:szCs w:val="24"/>
        </w:rPr>
        <w:t xml:space="preserve">Прогноз развития промышленности на 2023 год подготовлен с учетом следующих основных факторов и предпосылок:</w:t>
      </w:r>
    </w:p>
    <w:p>
      <w:pPr>
        <w:spacing w:after="60"/>
        <w:ind w:firstLine="567"/>
        <w:jc w:val="both"/>
      </w:pPr>
      <w:r>
        <w:rPr>
          <w:rFonts w:ascii="Arial" w:cs="Arial" w:eastAsia="Arial" w:hAnsi="Arial"/>
          <w:sz w:val="24"/>
          <w:szCs w:val="24"/>
        </w:rPr>
        <w:t xml:space="preserve">- расчеты и предполагаемые ресурсы для разработки золота на золоторудном месторождении Кумтор, где прогнозируется рост объемов добычи на 10,8%, обусловленной выходом на горизонты с большим содержанием золота в руде;</w:t>
      </w:r>
    </w:p>
    <w:p>
      <w:pPr>
        <w:spacing w:after="60"/>
        <w:ind w:firstLine="567"/>
        <w:jc w:val="both"/>
      </w:pPr>
      <w:r>
        <w:rPr>
          <w:rFonts w:ascii="Arial" w:cs="Arial" w:eastAsia="Arial" w:hAnsi="Arial"/>
          <w:sz w:val="24"/>
          <w:szCs w:val="24"/>
        </w:rPr>
        <w:t xml:space="preserve">- наращивание объемов добычи основного металла на месторождении Джеруй, где прогнозируется рост на 9,0%;</w:t>
      </w:r>
    </w:p>
    <w:p>
      <w:pPr>
        <w:spacing w:after="60"/>
        <w:ind w:firstLine="567"/>
        <w:jc w:val="both"/>
      </w:pPr>
      <w:r>
        <w:rPr>
          <w:rFonts w:ascii="Arial" w:cs="Arial" w:eastAsia="Arial" w:hAnsi="Arial"/>
          <w:sz w:val="24"/>
          <w:szCs w:val="24"/>
        </w:rPr>
        <w:t xml:space="preserve">- наращивание объемов добычи руды на месторождениях Бозымчак, Талды-Булак Левобережный, Иштамберди, Караказык и Жамгыр производства на нефтеперерабатывающих предприятиях;</w:t>
      </w:r>
    </w:p>
    <w:p>
      <w:pPr>
        <w:spacing w:after="60"/>
        <w:ind w:firstLine="567"/>
        <w:jc w:val="both"/>
      </w:pPr>
      <w:r>
        <w:rPr>
          <w:rFonts w:ascii="Arial" w:cs="Arial" w:eastAsia="Arial" w:hAnsi="Arial"/>
          <w:sz w:val="24"/>
          <w:szCs w:val="24"/>
        </w:rPr>
        <w:t xml:space="preserve">- реальные перспективы для развития угольной промышленности страны на коммерческой основе как малыми, так и крупными горнопромышленными компаниями и, в основном, за счет открытого способа отработки;</w:t>
      </w:r>
    </w:p>
    <w:p>
      <w:pPr>
        <w:spacing w:after="60"/>
        <w:ind w:firstLine="567"/>
        <w:jc w:val="both"/>
      </w:pPr>
      <w:r>
        <w:rPr>
          <w:rFonts w:ascii="Arial" w:cs="Arial" w:eastAsia="Arial" w:hAnsi="Arial"/>
          <w:sz w:val="24"/>
          <w:szCs w:val="24"/>
        </w:rPr>
        <w:t xml:space="preserve">- восстановление и рост объемов текстильного производства; производства одежды и обуви, кожи и прочих кожаных изделий на 5% за счет реализации крупных приоритетных проектов в легкой промышленности:</w:t>
      </w:r>
    </w:p>
    <w:p>
      <w:pPr>
        <w:spacing w:after="60"/>
        <w:ind w:firstLine="567"/>
        <w:jc w:val="both"/>
      </w:pPr>
      <w:r>
        <w:rPr>
          <w:rFonts w:ascii="Arial" w:cs="Arial" w:eastAsia="Arial" w:hAnsi="Arial"/>
          <w:sz w:val="24"/>
          <w:szCs w:val="24"/>
        </w:rPr>
        <w:t xml:space="preserve">1) промышленный парк текстильно-швейного производства ОсОО "Кыргыз Текстиль ЛТД" в городе Ош на 7 тысяч рабочих мест, который планируется создать на территории 25 гектаров поэтапно (финансирование Российско-Кыргызским Фондом Развития проекта ОсОО "Кыргыз Текстиль ЛТД" на сумму 4,3 млн. долл. США для строительства швейной фабрики по пошиву одежды с общим объемом производства более 7 млн. единиц швейной продукции в год);</w:t>
      </w:r>
    </w:p>
    <w:p>
      <w:pPr>
        <w:spacing w:after="60"/>
        <w:ind w:firstLine="567"/>
        <w:jc w:val="both"/>
      </w:pPr>
      <w:r>
        <w:rPr>
          <w:rFonts w:ascii="Arial" w:cs="Arial" w:eastAsia="Arial" w:hAnsi="Arial"/>
          <w:sz w:val="24"/>
          <w:szCs w:val="24"/>
        </w:rPr>
        <w:t xml:space="preserve">2) строительные работы на территории ОсОО "Индустриальный парк "Silk Way" в Чуйской области в соответствии с инвестиционным Соглашением между ОсОО "Индустриальный парк "Silk Way" и китайским инвестором Ли Юн, в рамках которого с китайской стороны планируется инвестировать в данный проект поэтапно порядка 100 млн. долл. США. Строительство объектов Индустриального парка запланировано завершить в два этапа:</w:t>
      </w:r>
    </w:p>
    <w:p>
      <w:pPr>
        <w:spacing w:after="60"/>
        <w:ind w:firstLine="567"/>
        <w:jc w:val="both"/>
      </w:pPr>
      <w:r>
        <w:rPr>
          <w:rFonts w:ascii="Arial" w:cs="Arial" w:eastAsia="Arial" w:hAnsi="Arial"/>
          <w:sz w:val="24"/>
          <w:szCs w:val="24"/>
        </w:rPr>
        <w:t xml:space="preserve">- до 2024 года предусматривается строительство 62 фабрик и сопутствующей инфраструктуры;</w:t>
      </w:r>
    </w:p>
    <w:p>
      <w:pPr>
        <w:spacing w:after="60"/>
        <w:ind w:firstLine="567"/>
        <w:jc w:val="both"/>
      </w:pPr>
      <w:r>
        <w:rPr>
          <w:rFonts w:ascii="Arial" w:cs="Arial" w:eastAsia="Arial" w:hAnsi="Arial"/>
          <w:sz w:val="24"/>
          <w:szCs w:val="24"/>
        </w:rPr>
        <w:t xml:space="preserve">- в 2022-2023 годы планируется окончание строительства 3 швейных предприятий и экспозиционного центра готовой продукции;</w:t>
      </w:r>
    </w:p>
    <w:p>
      <w:pPr>
        <w:spacing w:after="60"/>
        <w:ind w:firstLine="567"/>
        <w:jc w:val="both"/>
      </w:pPr>
      <w:r>
        <w:rPr>
          <w:rFonts w:ascii="Arial" w:cs="Arial" w:eastAsia="Arial" w:hAnsi="Arial"/>
          <w:sz w:val="24"/>
          <w:szCs w:val="24"/>
        </w:rPr>
        <w:t xml:space="preserve">3) Ассоциацией "Легпром" ведутся работы по привлечению инвестиций для реализации проекта Технополис для текстильного и швейного производства на территории 40,75 га, расположенного в Военно-Антоновском айылном аймаке Чуйской области. Планируется строительство красильного производства суровой ткани;</w:t>
      </w:r>
    </w:p>
    <w:p>
      <w:pPr>
        <w:spacing w:after="60"/>
        <w:ind w:firstLine="567"/>
        <w:jc w:val="both"/>
      </w:pPr>
      <w:r>
        <w:rPr>
          <w:rFonts w:ascii="Arial" w:cs="Arial" w:eastAsia="Arial" w:hAnsi="Arial"/>
          <w:sz w:val="24"/>
          <w:szCs w:val="24"/>
        </w:rPr>
        <w:t xml:space="preserve">4) на базе ОсОО "Текстиль Транс" в Чуйской области планируется создание текстильного хлопкового кластера. В Панфиловском районе на территории Фрунзенского айильного аймака 350 га будут посеяны семена хлопчатника, планируется запуск хлопкоочистительного завода. Таким образом, на базе ОсОО "Текстиль Транс" будет создан замкнутый цикл переработки хлопка начиная от выращивания хлопка, очистки и переработки до выпуска готовой продукции - чулочно-носочных изделий и одежды;</w:t>
      </w:r>
    </w:p>
    <w:p>
      <w:pPr>
        <w:spacing w:after="60"/>
        <w:ind w:firstLine="567"/>
        <w:jc w:val="both"/>
      </w:pPr>
      <w:r>
        <w:rPr>
          <w:rFonts w:ascii="Arial" w:cs="Arial" w:eastAsia="Arial" w:hAnsi="Arial"/>
          <w:sz w:val="24"/>
          <w:szCs w:val="24"/>
        </w:rPr>
        <w:t xml:space="preserve">- прогнозируется увеличение объемов производства строительных материалов на 5% за счет дальнейшей активизации строительного сектора республики; восстановление спроса на кыргызское листовое стекло на его основных рынках сбыта - России и Казахстана, куда поставляется до 90,0% производимого ОсОО "Интергласс" листового стекла. При этом оценка умеренного роста объемов цемента связано снижением заказов у цементных заводов южного региона: ЗАО "Южно-Кыргызский цемент", ОсОО "ЮКСМ" и ОсОО "Син-Дзи-Прим", ориентированных, в основном на потребителей Узбекистана и Таджикистана, которые в среднесрочном периоде планируют дальнейшее наращивание мощностей своего цементного производства;</w:t>
      </w:r>
    </w:p>
    <w:p>
      <w:pPr>
        <w:spacing w:after="60"/>
        <w:ind w:firstLine="567"/>
        <w:jc w:val="both"/>
      </w:pPr>
      <w:r>
        <w:rPr>
          <w:rFonts w:ascii="Arial" w:cs="Arial" w:eastAsia="Arial" w:hAnsi="Arial"/>
          <w:sz w:val="24"/>
          <w:szCs w:val="24"/>
        </w:rPr>
        <w:t xml:space="preserve">- прогнозируется восстановление объемов выработки электроэнергии в результате завершения всех трех фаз по реабилитации Токтогульской ГЭС, включая замену четырех гидроагрегатов, ожидается прирост мощностей на 240 МВт с продлением срока эксплуатации еще на 35-40 лет; реконструкции Ат-Башинской ГЭС с увеличением мощности на 4 МВт. Планируется ввод второго агрегата Камбаратинской ГЭС-2 с приростом мощности на 120 МВт. Будут вестись работы по реабилитации Уч-Курганской ГЭС, развитию малых ГЭС путем сооружения в первую очередь при действующих водохранилищах Кировском на 21 МВт, Торткульском на 3 МВт, Орто-Токойском - 21 МВт, Кара-Кульском - 18 МВт.</w:t>
      </w:r>
    </w:p>
    <w:p>
      <w:pPr>
        <w:spacing w:after="60"/>
        <w:ind w:firstLine="567"/>
        <w:jc w:val="both"/>
      </w:pPr>
      <w:r>
        <w:rPr>
          <w:rFonts w:ascii="Arial" w:cs="Arial" w:eastAsia="Arial" w:hAnsi="Arial"/>
          <w:sz w:val="24"/>
          <w:szCs w:val="24"/>
        </w:rPr>
        <w:t xml:space="preserve">Расчет прогнозных показателей выполнен по представленным прогнозным заявкам региональной энергетической комиссии по увеличению выработки электроэнергии на ТЭЦ г.Бишкек в рамках существующего наполнения Токтогульского водохранилища. Выработка электроэнергии в республике во многом зависит от притока воды и объема ее запасов в Токтогульском водохранилище. В республике наступил период маловодья, и соответственно, остро встают задачи о необходимости строгого лимитирования потребления электроэнергии по республике, увеличению выработки энергии на ТЭЦ г.Бишкек, а также рассматривается вопрос импорта электроэнергии из соседних государств в последующих годах.</w:t>
      </w:r>
    </w:p>
    <w:p>
      <w:pPr>
        <w:spacing w:after="60"/>
        <w:ind w:firstLine="567"/>
        <w:jc w:val="both"/>
      </w:pPr>
      <w:r>
        <w:rPr>
          <w:rFonts w:ascii="Arial" w:cs="Arial" w:eastAsia="Arial" w:hAnsi="Arial"/>
          <w:sz w:val="24"/>
          <w:szCs w:val="24"/>
        </w:rPr>
        <w:t xml:space="preserve">В результате в промышленном секторе на 2023 год прогнозируется реальный рост объемов производства на 8,1% за счет устойчивой работы действующих промышленных предприятий и ввода в эксплуатацию новых производств и месторождений. Положительный вклад в рост ВВП составит 1,43 процентного пункта, с удельным весом в общем объеме ВВП 17,8%. Без учета предприятий по разработке золоторудного месторождения Кумтор рост промышленного производства прогнозируется на уровне 105,8%.</w:t>
      </w:r>
    </w:p>
    <w:p>
      <w:pPr>
        <w:spacing w:after="60"/>
        <w:ind w:firstLine="567"/>
        <w:jc w:val="right"/>
      </w:pPr>
      <w:r>
        <w:rPr>
          <w:rFonts w:ascii="Arial" w:cs="Arial" w:eastAsia="Arial" w:hAnsi="Arial"/>
          <w:sz w:val="24"/>
          <w:szCs w:val="24"/>
        </w:rPr>
        <w:t xml:space="preserve">Таблица 11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отраслях промышленности, в процентах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
        <w:gridCol w:w="6844"/>
        <w:gridCol w:w="1590"/>
        <w:gridCol w:w="1179"/>
      </w:tblGrid>
      <w:tr>
        <w:tc>
          <w:tcPr>
            <w:tcW w:type="dxa" w:w="5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8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6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8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всего</w:t>
            </w:r>
          </w:p>
        </w:tc>
        <w:tc>
          <w:tcPr>
            <w:tcW w:type="dxa" w:w="15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106,6</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108,1</w:t>
            </w:r>
          </w:p>
        </w:tc>
      </w:tr>
      <w:tr>
        <w:tc>
          <w:tcPr>
            <w:tcW w:type="dxa" w:w="5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золоторудного месторождения Кумтор</w:t>
            </w:r>
          </w:p>
        </w:tc>
        <w:tc>
          <w:tcPr>
            <w:tcW w:type="dxa" w:w="1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r>
      <w:tr>
        <w:tc>
          <w:tcPr>
            <w:tcW w:type="dxa" w:w="5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5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r>
      <w:tr>
        <w:tc>
          <w:tcPr>
            <w:tcW w:type="dxa" w:w="5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5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Основные негативные факторы, влияющие на достижения целевых ориентиров:</w:t>
      </w:r>
    </w:p>
    <w:p>
      <w:pPr>
        <w:spacing w:after="60"/>
        <w:ind w:firstLine="567"/>
        <w:jc w:val="both"/>
      </w:pPr>
      <w:r>
        <w:rPr>
          <w:rFonts w:ascii="Arial" w:cs="Arial" w:eastAsia="Arial" w:hAnsi="Arial"/>
          <w:sz w:val="24"/>
          <w:szCs w:val="24"/>
        </w:rPr>
        <w:t xml:space="preserve">- низкий уровень диверсификации производства (удельный вес 6 ключевых отраслей промышленности, без энергетики, составляет в среднем чуть более 80%, а на оставшиеся 14 отраслей приходится в среднем 10% промышленного производства);</w:t>
      </w:r>
    </w:p>
    <w:p>
      <w:pPr>
        <w:spacing w:after="60"/>
        <w:ind w:firstLine="567"/>
        <w:jc w:val="both"/>
      </w:pPr>
      <w:r>
        <w:rPr>
          <w:rFonts w:ascii="Arial" w:cs="Arial" w:eastAsia="Arial" w:hAnsi="Arial"/>
          <w:sz w:val="24"/>
          <w:szCs w:val="24"/>
        </w:rPr>
        <w:t xml:space="preserve">- недостижение запланированных объемов добычи на месторождениях, которые могут быть связаны с оценкой минеральных запасов (неподтверждение запасов руды, хотя и была откалибрована согласно данным предыдущих лет производства), высоким уровнем графитного углерода для извлечения на золотоизвлекательной фабрике, геотехническими рисками (устойчивость бортов карьера, движение ледника, отвалы пустой породы и т.д.);</w:t>
      </w:r>
    </w:p>
    <w:p>
      <w:pPr>
        <w:spacing w:after="60"/>
        <w:ind w:firstLine="567"/>
        <w:jc w:val="both"/>
      </w:pPr>
      <w:r>
        <w:rPr>
          <w:rFonts w:ascii="Arial" w:cs="Arial" w:eastAsia="Arial" w:hAnsi="Arial"/>
          <w:sz w:val="24"/>
          <w:szCs w:val="24"/>
        </w:rPr>
        <w:t xml:space="preserve">- ограниченный доступ к рынкам сбыта товаров чувствительных отраслей в условиях ЕАЭС, нарушение цепочек поставок из-за введенных санкций в связи с военными действиями на Украине, включая производство пищевых продуктов; швейное производство; производство строительных материалов (транспортная инфраструктура и требования технических регламентов, сертификации) и незначительные объемы производства;</w:t>
      </w:r>
    </w:p>
    <w:p>
      <w:pPr>
        <w:spacing w:after="60"/>
        <w:ind w:firstLine="567"/>
        <w:jc w:val="both"/>
      </w:pPr>
      <w:r>
        <w:rPr>
          <w:rFonts w:ascii="Arial" w:cs="Arial" w:eastAsia="Arial" w:hAnsi="Arial"/>
          <w:sz w:val="24"/>
          <w:szCs w:val="24"/>
        </w:rPr>
        <w:t xml:space="preserve">- износ оборудования, недостаток оборотных средств и высокая дебиторская задолженность потребителей;</w:t>
      </w:r>
    </w:p>
    <w:p>
      <w:pPr>
        <w:spacing w:after="60"/>
        <w:ind w:firstLine="567"/>
        <w:jc w:val="both"/>
      </w:pPr>
      <w:r>
        <w:rPr>
          <w:rFonts w:ascii="Arial" w:cs="Arial" w:eastAsia="Arial" w:hAnsi="Arial"/>
          <w:sz w:val="24"/>
          <w:szCs w:val="24"/>
        </w:rPr>
        <w:t xml:space="preserve">- экономически необоснованные тарифы и дефицит в тарифе в деятельности энергетических компаний и отрасли в целом;</w:t>
      </w:r>
    </w:p>
    <w:p>
      <w:pPr>
        <w:spacing w:after="60"/>
        <w:ind w:firstLine="567"/>
        <w:jc w:val="both"/>
      </w:pPr>
      <w:r>
        <w:rPr>
          <w:rFonts w:ascii="Arial" w:cs="Arial" w:eastAsia="Arial" w:hAnsi="Arial"/>
          <w:sz w:val="24"/>
          <w:szCs w:val="24"/>
        </w:rPr>
        <w:t xml:space="preserve">- технологические сбои в производстве - неритмичность подачи газа и электроэнергии, сырья и комплектующих материалов на промышленные предприятия, аварии и отказы оборудования вследствие повышенной изношенности;</w:t>
      </w:r>
    </w:p>
    <w:p>
      <w:pPr>
        <w:spacing w:after="60"/>
        <w:ind w:firstLine="567"/>
        <w:jc w:val="both"/>
      </w:pPr>
      <w:r>
        <w:rPr>
          <w:rFonts w:ascii="Arial" w:cs="Arial" w:eastAsia="Arial" w:hAnsi="Arial"/>
          <w:sz w:val="24"/>
          <w:szCs w:val="24"/>
        </w:rPr>
        <w:t xml:space="preserve">- экономическая ситуация в странах - основных торговых партнерах - Российской Федерации, Республике Казахстан (сокращение спроса, что негативно отражается на деятельности предприятий, экспортирующих продукцию на их рынки);</w:t>
      </w:r>
    </w:p>
    <w:p>
      <w:pPr>
        <w:spacing w:after="60"/>
        <w:ind w:firstLine="567"/>
        <w:jc w:val="both"/>
      </w:pPr>
      <w:r>
        <w:rPr>
          <w:rFonts w:ascii="Arial" w:cs="Arial" w:eastAsia="Arial" w:hAnsi="Arial"/>
          <w:sz w:val="24"/>
          <w:szCs w:val="24"/>
        </w:rPr>
        <w:t xml:space="preserve">- высокая зависимость от импорта сырья и комплектующих;</w:t>
      </w:r>
    </w:p>
    <w:p>
      <w:pPr>
        <w:spacing w:after="60"/>
        <w:ind w:firstLine="567"/>
        <w:jc w:val="both"/>
      </w:pPr>
      <w:r>
        <w:rPr>
          <w:rFonts w:ascii="Arial" w:cs="Arial" w:eastAsia="Arial" w:hAnsi="Arial"/>
          <w:sz w:val="24"/>
          <w:szCs w:val="24"/>
        </w:rPr>
        <w:t xml:space="preserve">- волатильность цен на золото, сурьму, ртуть;</w:t>
      </w:r>
    </w:p>
    <w:p>
      <w:pPr>
        <w:spacing w:after="60"/>
        <w:ind w:firstLine="567"/>
        <w:jc w:val="both"/>
      </w:pPr>
      <w:r>
        <w:rPr>
          <w:rFonts w:ascii="Arial" w:cs="Arial" w:eastAsia="Arial" w:hAnsi="Arial"/>
          <w:sz w:val="24"/>
          <w:szCs w:val="24"/>
        </w:rPr>
        <w:t xml:space="preserve">- неблагоприятные природно-климатические условия и др.</w:t>
      </w:r>
    </w:p>
    <w:p>
      <w:pPr>
        <w:spacing w:after="60" w:before="200"/>
        <w:ind w:firstLine="567"/>
        <w:jc w:val="both"/>
      </w:pPr>
      <w:r>
        <w:rPr>
          <w:rFonts w:ascii="Arial" w:cs="Arial" w:eastAsia="Arial" w:hAnsi="Arial"/>
          <w:b/>
          <w:bCs/>
          <w:sz w:val="24"/>
          <w:szCs w:val="24"/>
        </w:rPr>
        <w:t xml:space="preserve">Строительство</w:t>
      </w:r>
    </w:p>
    <w:p>
      <w:pPr>
        <w:spacing w:after="60"/>
        <w:ind w:firstLine="567"/>
        <w:jc w:val="both"/>
      </w:pPr>
      <w:r>
        <w:rPr>
          <w:rFonts w:ascii="Arial" w:cs="Arial" w:eastAsia="Arial" w:hAnsi="Arial"/>
          <w:sz w:val="24"/>
          <w:szCs w:val="24"/>
        </w:rPr>
        <w:t xml:space="preserve">Развитие строительной отрасли станет одним из значимых направлений, обеспечивающих рост национальной экономики за счет реализации крупных инвестиционных проектов. В результате принятия комплексных мер развития в строительном комплексе страны прогнозируется увеличение капитальных вложений на 6,0%, объемы составят 156,5 млрд.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12</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строительной отрасли на 2022-2023 годы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33"/>
        <w:gridCol w:w="1905"/>
        <w:gridCol w:w="1024"/>
        <w:gridCol w:w="1767"/>
        <w:gridCol w:w="949"/>
      </w:tblGrid>
      <w:tr>
        <w:tc>
          <w:tcPr>
            <w:tcW w:type="dxa" w:w="4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139234,0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156464,8</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101358,1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116274,7</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4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37875,9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143,3</w:t>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40190,1</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4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165037,0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187751,4</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Структура капитальных вложений, относительно ожидаемых в 2022 году, изменится в сторону увеличения доли внутренних инвестиций с 72,8% до 74,3% (основную долю занимают средства предприятий, организаций и населения, составляющие 69,2%) и снижения доли внешних инвестиций с 27,2% до 25,7%.</w:t>
      </w:r>
    </w:p>
    <w:p>
      <w:pPr>
        <w:spacing w:after="60"/>
        <w:ind w:firstLine="567"/>
        <w:jc w:val="both"/>
      </w:pPr>
      <w:r>
        <w:rPr>
          <w:rFonts w:ascii="Arial" w:cs="Arial" w:eastAsia="Arial" w:hAnsi="Arial"/>
          <w:sz w:val="24"/>
          <w:szCs w:val="24"/>
        </w:rPr>
        <w:t xml:space="preserve">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Ожидается поступление финансовых средств за счет капитальных вложений из республиканского бюджета в сумме 4000,0 млн. сомов, которые в первую очередь будут направлены на завершение строительства и реконструкцию объектов образования, здравоохранения, автомобильных дорог стратегического значения и автодорог в приграничных районах республики, ирригационных сооружений, восстановление аварийных объектов и т.д.</w:t>
      </w:r>
    </w:p>
    <w:p>
      <w:pPr>
        <w:spacing w:after="60"/>
        <w:ind w:firstLine="567"/>
        <w:jc w:val="both"/>
      </w:pPr>
      <w:r>
        <w:rPr>
          <w:rFonts w:ascii="Arial" w:cs="Arial" w:eastAsia="Arial" w:hAnsi="Arial"/>
          <w:sz w:val="24"/>
          <w:szCs w:val="24"/>
        </w:rPr>
        <w:t xml:space="preserve">Прогнозные объемы капитальных вложений за счет средств предприятий и организаций в сумме 56,2 млрд. сомов будут сформированы за счет инвестиций ЗАО "Кумтор Голд Компани", ОАО "Кыргызалтын" и др.</w:t>
      </w:r>
    </w:p>
    <w:p>
      <w:pPr>
        <w:spacing w:after="60"/>
        <w:ind w:firstLine="567"/>
        <w:jc w:val="both"/>
      </w:pPr>
      <w:r>
        <w:rPr>
          <w:rFonts w:ascii="Arial" w:cs="Arial" w:eastAsia="Arial" w:hAnsi="Arial"/>
          <w:sz w:val="24"/>
          <w:szCs w:val="24"/>
        </w:rPr>
        <w:t xml:space="preserve">В 2023 году будут реализованы крупные инвестиционные проекты в энергетической и транспортной отраслях, которые внесут основной вклад в развитие строительства.</w:t>
      </w:r>
    </w:p>
    <w:p>
      <w:pPr>
        <w:spacing w:after="60"/>
        <w:ind w:firstLine="567"/>
        <w:jc w:val="both"/>
      </w:pPr>
      <w:r>
        <w:rPr>
          <w:rFonts w:ascii="Arial" w:cs="Arial" w:eastAsia="Arial" w:hAnsi="Arial"/>
          <w:sz w:val="24"/>
          <w:szCs w:val="24"/>
        </w:rPr>
        <w:t xml:space="preserve">Наибольшие объемы финансирования предусмотрены в секторе транспорта - всего в размере 12756,8 млн. сомов (27,3% от всего государственных инвестиций), которые ожидаются за счет проектов: "Строительство альтернативной дороги Север-Юг" (208,8 млн. сомов - ИБР, СФР), Проект реабилитации кольцевой автодороги Балыкчы - Каракол - Балыкчы (уч. Корумду - Каракол) (317,8 млн. сомов - ИБР, СФР, КФАЭР, ОПЕК), Проект "Улучшение коридора ЦАРЭС 3 (автодорога Бишкек - Ош, участок Бишкек - Кара-Балта)" Фаза 4 (169,7 млн. сомов - АБР), Проект "Улучшение автодороги Бишкек - Ош" Фаза 4 (185,6 млн. сомов - ЕАБР), Проект реабилитации кольцевой автодороги Балыкчы - Каракол - Балыкчы (уч. с. Балбай Баатыр - г.Каракол) (774,4 млн. сомов - ЕБРР), Проект "Улучшение дорожных путей сообщения в ЦА" Фаза 3 (Дор. Тюп - Кеген) (2491,4 млн. сомов - ВБ), "Строительство альтернативной дороги Север-Юг", Фаза 1 и Фаза 2" (1816,0 млн. сомов - КНР), Проект "Соединительной дороги, коридоры ЦАРЭС 1 и ЦАРЭС 3" (2373,6 млн. сомов - АБР), Проект "Улучшение основных международных дорог" (2821,7 млн. сомов - JICA) и другие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4"/>
          <w:szCs w:val="24"/>
        </w:rPr>
        <w:t xml:space="preserve">В энергетической отрасли объемы финансирования предусмотрены в сумме 11335,9 млн. сомов (24,2% от всего государственных инвестиций), которые ожидаются за счет реализации проектов: проектов "CASA-1000" (1997,6 млн. сомов - ВБ, ЕИБ, ИБР), "Ввод в эксплуатации второго гидроагрегата Камбаратинской ГЭС-2" (2811,2 млн. сомов - ЕАБР), "Реабилитация Токтогульской ГЭС, Фаза II" (2072,1 млн. сомов - АБР, ЕАБР), "Реабилитация Токтогульской ГЭС, Фаза III" (1493,2 млн. сомов - АБР), "Проект улучшения теплоснабжения" (795,0 млн. сомов - ВБ), "Проект модернизации Уч-Курганской ГЭС" (1939,9 млн. сомов - АБР)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к увеличению обмена электрической энергией между соседними государствами, а также транзитных перетоков.</w:t>
      </w:r>
    </w:p>
    <w:p>
      <w:pPr>
        <w:spacing w:after="60"/>
        <w:ind w:firstLine="567"/>
        <w:jc w:val="both"/>
      </w:pPr>
      <w:r>
        <w:rPr>
          <w:rFonts w:ascii="Arial" w:cs="Arial" w:eastAsia="Arial" w:hAnsi="Arial"/>
          <w:sz w:val="24"/>
          <w:szCs w:val="24"/>
        </w:rPr>
        <w:t xml:space="preserve">Объемы прямых иностранных инвестиций в сумме 11,5 млрд. сомов прогнозируются за счет капитальных вложений:</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ОсОО</w:t>
      </w:r>
      <w:r>
        <w:rPr>
          <w:rFonts w:ascii="Arial" w:cs="Arial" w:eastAsia="Arial" w:hAnsi="Arial"/>
          <w:sz w:val="24"/>
          <w:szCs w:val="24"/>
        </w:rPr>
        <w:t xml:space="preserve"> "KAZ Minerals Bozymchak" (1302,9 </w:t>
      </w:r>
      <w:r>
        <w:rPr>
          <w:rFonts w:ascii="Arial" w:cs="Arial" w:eastAsia="Arial" w:hAnsi="Arial"/>
          <w:sz w:val="24"/>
          <w:szCs w:val="24"/>
        </w:rPr>
        <w:t xml:space="preserve">млн</w:t>
      </w:r>
      <w:r>
        <w:rPr>
          <w:rFonts w:ascii="Arial" w:cs="Arial" w:eastAsia="Arial" w:hAnsi="Arial"/>
          <w:sz w:val="24"/>
          <w:szCs w:val="24"/>
        </w:rPr>
        <w:t xml:space="preserve">. </w:t>
      </w:r>
      <w:r>
        <w:rPr>
          <w:rFonts w:ascii="Arial" w:cs="Arial" w:eastAsia="Arial" w:hAnsi="Arial"/>
          <w:sz w:val="24"/>
          <w:szCs w:val="24"/>
        </w:rPr>
        <w:t xml:space="preserve">сомов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ОсОО</w:t>
      </w:r>
      <w:r>
        <w:rPr>
          <w:rFonts w:ascii="Arial" w:cs="Arial" w:eastAsia="Arial" w:hAnsi="Arial"/>
          <w:sz w:val="24"/>
          <w:szCs w:val="24"/>
        </w:rPr>
        <w:t xml:space="preserve"> "Full Gold Mining" (100,0 </w:t>
      </w:r>
      <w:r>
        <w:rPr>
          <w:rFonts w:ascii="Arial" w:cs="Arial" w:eastAsia="Arial" w:hAnsi="Arial"/>
          <w:sz w:val="24"/>
          <w:szCs w:val="24"/>
        </w:rPr>
        <w:t xml:space="preserve">млн</w:t>
      </w:r>
      <w:r>
        <w:rPr>
          <w:rFonts w:ascii="Arial" w:cs="Arial" w:eastAsia="Arial" w:hAnsi="Arial"/>
          <w:sz w:val="24"/>
          <w:szCs w:val="24"/>
        </w:rPr>
        <w:t xml:space="preserve">. </w:t>
      </w:r>
      <w:r>
        <w:rPr>
          <w:rFonts w:ascii="Arial" w:cs="Arial" w:eastAsia="Arial" w:hAnsi="Arial"/>
          <w:sz w:val="24"/>
          <w:szCs w:val="24"/>
        </w:rPr>
        <w:t xml:space="preserve">сомов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ЗАО "Чаарат Заав" (3434,5 млн. сомов);</w:t>
      </w:r>
    </w:p>
    <w:p>
      <w:pPr>
        <w:spacing w:after="60"/>
        <w:ind w:firstLine="567"/>
        <w:jc w:val="both"/>
      </w:pPr>
      <w:r>
        <w:rPr>
          <w:rFonts w:ascii="Arial" w:cs="Arial" w:eastAsia="Arial" w:hAnsi="Arial"/>
          <w:sz w:val="24"/>
          <w:szCs w:val="24"/>
        </w:rPr>
        <w:t xml:space="preserve">- ОсОО "Альянс Алтын" (1401,0 млн. сомов);</w:t>
      </w:r>
    </w:p>
    <w:p>
      <w:pPr>
        <w:spacing w:after="60"/>
        <w:ind w:firstLine="567"/>
        <w:jc w:val="both"/>
      </w:pPr>
      <w:r>
        <w:rPr>
          <w:rFonts w:ascii="Arial" w:cs="Arial" w:eastAsia="Arial" w:hAnsi="Arial"/>
          <w:sz w:val="24"/>
          <w:szCs w:val="24"/>
        </w:rPr>
        <w:t xml:space="preserve">- ОсОО "Газпром Кыргызстан" (712,34 млн. сомов);</w:t>
      </w:r>
    </w:p>
    <w:p>
      <w:pPr>
        <w:spacing w:after="60"/>
        <w:ind w:firstLine="567"/>
        <w:jc w:val="both"/>
      </w:pPr>
      <w:r>
        <w:rPr>
          <w:rFonts w:ascii="Arial" w:cs="Arial" w:eastAsia="Arial" w:hAnsi="Arial"/>
          <w:sz w:val="24"/>
          <w:szCs w:val="24"/>
        </w:rPr>
        <w:t xml:space="preserve">- ОсОО "Горная инвестиционная компания "Кайди" (1723,3 млн. сомов);</w:t>
      </w:r>
    </w:p>
    <w:p>
      <w:pPr>
        <w:spacing w:after="60"/>
        <w:ind w:firstLine="567"/>
        <w:jc w:val="both"/>
      </w:pPr>
      <w:r>
        <w:rPr>
          <w:rFonts w:ascii="Arial" w:cs="Arial" w:eastAsia="Arial" w:hAnsi="Arial"/>
          <w:sz w:val="24"/>
          <w:szCs w:val="24"/>
        </w:rPr>
        <w:t xml:space="preserve">- ОсОО "Нефтеперерабатывающий завод "Байэл-3" (15,0 млн. сомов).</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2023 году прогнозируется на уровне 5,0% и составит 187,8 млрд. сомов. Влияние строительной отрасли на темпы экономического роста будет положительным и составит 0,41 процентного пункта, удельный вес строительства в структуре производства ВВП - 8,3%.</w:t>
      </w:r>
    </w:p>
    <w:p>
      <w:pPr>
        <w:spacing w:after="60"/>
        <w:ind w:firstLine="567"/>
        <w:jc w:val="both"/>
      </w:pPr>
      <w:r>
        <w:rPr>
          <w:rFonts w:ascii="Arial" w:cs="Arial" w:eastAsia="Arial" w:hAnsi="Arial"/>
          <w:sz w:val="24"/>
          <w:szCs w:val="24"/>
        </w:rPr>
        <w:t xml:space="preserve">Вместе с тем присутствуют риски, которые могут оказать негативный эффект на развитие строительства и привести к недостижению прогнозируемых показателей, а именно:</w:t>
      </w:r>
    </w:p>
    <w:p>
      <w:pPr>
        <w:spacing w:after="60"/>
        <w:ind w:firstLine="567"/>
        <w:jc w:val="both"/>
      </w:pPr>
      <w:r>
        <w:rPr>
          <w:rFonts w:ascii="Arial" w:cs="Arial" w:eastAsia="Arial" w:hAnsi="Arial"/>
          <w:sz w:val="24"/>
          <w:szCs w:val="24"/>
        </w:rPr>
        <w:t xml:space="preserve">- сокращение иностранных кредитов, грантов и гуманитарной помощи из-за возможного перебоя финансирования части крупных инвестиционных проектов (несвоевременное открытие финансирования);</w:t>
      </w:r>
    </w:p>
    <w:p>
      <w:pPr>
        <w:spacing w:after="60"/>
        <w:ind w:firstLine="567"/>
        <w:jc w:val="both"/>
      </w:pPr>
      <w:r>
        <w:rPr>
          <w:rFonts w:ascii="Arial" w:cs="Arial" w:eastAsia="Arial" w:hAnsi="Arial"/>
          <w:sz w:val="24"/>
          <w:szCs w:val="24"/>
        </w:rPr>
        <w:t xml:space="preserve">- реализация инвестиционных проектов, предусмотренных в проекте бюджета по государственным инвестициям на 2022-2024 годы (внешние источники), где может произойти пересмотр в сторону снижения. Причинами могут стать неосвоенные средства из-за внутренних проблем, длительные процедуры согласования с донорами и т.д. В связи с чем последующие транши могут быть приостановлены и не поступить в Кыргызскую Республику;</w:t>
      </w:r>
    </w:p>
    <w:p>
      <w:pPr>
        <w:spacing w:after="60"/>
        <w:ind w:firstLine="567"/>
        <w:jc w:val="both"/>
      </w:pPr>
      <w:r>
        <w:rPr>
          <w:rFonts w:ascii="Arial" w:cs="Arial" w:eastAsia="Arial" w:hAnsi="Arial"/>
          <w:sz w:val="24"/>
          <w:szCs w:val="24"/>
        </w:rPr>
        <w:t xml:space="preserve">- сокращение капитальных вложений за счет средств предприятий и организаций из-за возможного перебоя в финансировании части отдельных проектов (несвоевременное открытие финансирования);</w:t>
      </w:r>
    </w:p>
    <w:p>
      <w:pPr>
        <w:spacing w:after="60"/>
        <w:ind w:firstLine="567"/>
        <w:jc w:val="both"/>
      </w:pPr>
      <w:r>
        <w:rPr>
          <w:rFonts w:ascii="Arial" w:cs="Arial" w:eastAsia="Arial" w:hAnsi="Arial"/>
          <w:sz w:val="24"/>
          <w:szCs w:val="24"/>
        </w:rPr>
        <w:t xml:space="preserve">- снижение капитальных вложений, финансируемых за счет средств населения, из-за ухудшения его платежеспособности, вследствие чего уменьшение объемов жилищного строительства за счет средств населения;</w:t>
      </w:r>
    </w:p>
    <w:p>
      <w:pPr>
        <w:spacing w:after="60"/>
        <w:ind w:firstLine="567"/>
        <w:jc w:val="both"/>
      </w:pPr>
      <w:r>
        <w:rPr>
          <w:rFonts w:ascii="Arial" w:cs="Arial" w:eastAsia="Arial" w:hAnsi="Arial"/>
          <w:sz w:val="24"/>
          <w:szCs w:val="24"/>
        </w:rPr>
        <w:t xml:space="preserve">- сокращение объемов прямых иностранных инвестиций из-за снижения капитальных затрат иностранных инвесторов и отсутствие данных по другим дополнительным источникам финансирования;</w:t>
      </w:r>
    </w:p>
    <w:p>
      <w:pPr>
        <w:spacing w:after="60"/>
        <w:ind w:firstLine="567"/>
        <w:jc w:val="both"/>
      </w:pPr>
      <w:r>
        <w:rPr>
          <w:rFonts w:ascii="Arial" w:cs="Arial" w:eastAsia="Arial" w:hAnsi="Arial"/>
          <w:sz w:val="24"/>
          <w:szCs w:val="24"/>
        </w:rPr>
        <w:t xml:space="preserve">- проблемы, связанные с актом приемки завершенных объектов, некоторые из которых завершены в предыдущие годы, однако не оформлены акты приема-передачи, что связано с недооснащением, недооборудованием объектов, трудностями подключения вновь возводимых объектов к инфраструктуре.</w:t>
      </w:r>
    </w:p>
    <w:p>
      <w:pPr>
        <w:spacing w:after="60" w:before="200"/>
        <w:ind w:firstLine="567"/>
        <w:jc w:val="both"/>
      </w:pPr>
      <w:r>
        <w:rPr>
          <w:rFonts w:ascii="Arial" w:cs="Arial" w:eastAsia="Arial" w:hAnsi="Arial"/>
          <w:b/>
          <w:bCs/>
          <w:sz w:val="24"/>
          <w:szCs w:val="24"/>
        </w:rPr>
        <w:t xml:space="preserve">Сфера услуг</w:t>
      </w:r>
    </w:p>
    <w:p>
      <w:pPr>
        <w:spacing w:after="60"/>
        <w:ind w:firstLine="567"/>
        <w:jc w:val="both"/>
      </w:pPr>
      <w:r>
        <w:rPr>
          <w:rFonts w:ascii="Arial" w:cs="Arial" w:eastAsia="Arial" w:hAnsi="Arial"/>
          <w:sz w:val="24"/>
          <w:szCs w:val="24"/>
        </w:rPr>
        <w:t xml:space="preserve">Сфера услуг по-прежнему будет занимать доминирующую долю в структуре ВВП (46,6%), и с наибольшим вкладом в структуре роста - 2,08%.</w:t>
      </w:r>
    </w:p>
    <w:p>
      <w:pPr>
        <w:spacing w:after="60"/>
        <w:ind w:firstLine="567"/>
        <w:jc w:val="both"/>
      </w:pPr>
      <w:r>
        <w:rPr>
          <w:rFonts w:ascii="Arial" w:cs="Arial" w:eastAsia="Arial" w:hAnsi="Arial"/>
          <w:sz w:val="24"/>
          <w:szCs w:val="24"/>
        </w:rPr>
        <w:t xml:space="preserve">Для развития данного сектора будут реализованы меры, предусмотренные в </w:t>
      </w:r>
      <w:hyperlink w:history="1" r:id="rId48vpqzlj3fcpgiqxnm8gc">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w:t>
      </w:r>
      <w:hyperlink w:history="1" r:id="rIdudhpsailjfabkxt9ujux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12 октября 2021 года № 435), </w:t>
      </w:r>
      <w:hyperlink w:history="1" r:id="rIdowdrpn95wvhtosk_h6a1m">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развития сферы туризма на 2019-2023 годы (</w:t>
      </w:r>
      <w:hyperlink w:history="1" r:id="rIdtm_t6dkef8tqms5fpxng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января 2019 года № 36), </w:t>
      </w:r>
      <w:hyperlink w:history="1" r:id="rIdg2iimhn9n4sntnylef5cm">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 Республики "О поддержке развития туризма в Кыргызской Республике" от 17 декабря 2021 года № 566, Концепции развития автомобильного транспорта Кыргызской Республики на 2020-2024 годы (приказ Министерства транспорта и коммуникации Кыргызской Республики от 15 января 2020 года № 7), Основных направлениях развития железнодорожного транспорта Кыргызской Республики на 2022-2026 годы (</w:t>
      </w:r>
      <w:hyperlink w:history="1" r:id="rIdadyqvs9qiepojlisg9p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от 20 мая 2022 года № 258), Концепции цифровой трансформации "Цифровой Кыргызстан 2019-2023" (решение Совета безопасности Кыргызской Республики от 14 декабря 2018 года № 2), </w:t>
      </w:r>
      <w:hyperlink w:history="1" r:id="rIdrh_y_uozg5ngey7ptdpin">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 Республики "О неотложных мерах по активизации внедрения цифровых технологий в государственное управление Кыргызской Республики" от 17 декабря 2020 года № 64, Плане мероприятий по цифровизации управления и развития цифровой инфраструктуры в Кыргызской Республике на 2022-2023 годы (распоряжение Кабинета Министров Кыргызской Республики от 12 января 2022 года № 2-р) и др.</w:t>
      </w:r>
    </w:p>
    <w:p>
      <w:pPr>
        <w:spacing w:after="60"/>
        <w:ind w:firstLine="567"/>
        <w:jc w:val="both"/>
      </w:pPr>
      <w:r>
        <w:rPr>
          <w:rFonts w:ascii="Arial" w:cs="Arial" w:eastAsia="Arial" w:hAnsi="Arial"/>
          <w:sz w:val="24"/>
          <w:szCs w:val="24"/>
        </w:rPr>
        <w:t xml:space="preserve">В 2023 году прогнозируется реальный рост на уровне 4,6%, где рост валового выпуска торговли ожидается на уровне 108,4% за счет следующих факторов:</w:t>
      </w:r>
    </w:p>
    <w:p>
      <w:pPr>
        <w:spacing w:after="60"/>
        <w:ind w:firstLine="567"/>
        <w:jc w:val="both"/>
      </w:pPr>
      <w:r>
        <w:rPr>
          <w:rFonts w:ascii="Arial" w:cs="Arial" w:eastAsia="Arial" w:hAnsi="Arial"/>
          <w:sz w:val="24"/>
          <w:szCs w:val="24"/>
        </w:rPr>
        <w:t xml:space="preserve">- восстановление потребительского спроса, обусловленное увеличением доходов населения (повышение заработной платы, размера пенсий, социальных выплат, расширение производства сельскохозяйственной продукции в домашних хозяйствах и др.);</w:t>
      </w:r>
    </w:p>
    <w:p>
      <w:pPr>
        <w:spacing w:after="60"/>
        <w:ind w:firstLine="567"/>
        <w:jc w:val="both"/>
      </w:pPr>
      <w:r>
        <w:rPr>
          <w:rFonts w:ascii="Arial" w:cs="Arial" w:eastAsia="Arial" w:hAnsi="Arial"/>
          <w:sz w:val="24"/>
          <w:szCs w:val="24"/>
        </w:rPr>
        <w:t xml:space="preserve">- перевод большинства видов услуг в цифровой формат и активизация фискализации налоговых процедур, расширения установки ККМ;</w:t>
      </w:r>
    </w:p>
    <w:p>
      <w:pPr>
        <w:spacing w:after="60"/>
        <w:ind w:firstLine="567"/>
        <w:jc w:val="both"/>
      </w:pPr>
      <w:r>
        <w:rPr>
          <w:rFonts w:ascii="Arial" w:cs="Arial" w:eastAsia="Arial" w:hAnsi="Arial"/>
          <w:sz w:val="24"/>
          <w:szCs w:val="24"/>
        </w:rPr>
        <w:t xml:space="preserve">- освобождение от налогов предпринимателей с оборотом менее и 8,0 млн. сомов и дальнейшее улучшение условий для бизнеса в стране, способствующих развитию оптовой и розничной торговли, включая ремонт автомобилей;</w:t>
      </w:r>
    </w:p>
    <w:p>
      <w:pPr>
        <w:spacing w:after="60"/>
        <w:ind w:firstLine="567"/>
        <w:jc w:val="both"/>
      </w:pPr>
      <w:r>
        <w:rPr>
          <w:rFonts w:ascii="Arial" w:cs="Arial" w:eastAsia="Arial" w:hAnsi="Arial"/>
          <w:sz w:val="24"/>
          <w:szCs w:val="24"/>
        </w:rPr>
        <w:t xml:space="preserve">- дальнейшее расширение крупных торговых сетей, таких как "Фрунзе", "Глобус";</w:t>
      </w:r>
    </w:p>
    <w:p>
      <w:pPr>
        <w:spacing w:after="60"/>
        <w:ind w:firstLine="567"/>
        <w:jc w:val="both"/>
      </w:pPr>
      <w:r>
        <w:rPr>
          <w:rFonts w:ascii="Arial" w:cs="Arial" w:eastAsia="Arial" w:hAnsi="Arial"/>
          <w:sz w:val="24"/>
          <w:szCs w:val="24"/>
        </w:rPr>
        <w:t xml:space="preserve">- прирост услуг транспортной деятельности и хранения грузов на 7,5% - за счет повышения качества транспортных услуг посредством приведения внутренней сети автомобильных дорог в соответствие рабочим стандартам, обновления и пополнения парка автотранспортных средств; повышения интегрированности страны в мировую экономическую систему путем реабилитации международных транспортных коридоров; улучшения условий для отечественных грузоперевозчиков в оказании международных автотранспортных услуг; расширения доступности транспортных услуг за счет развития наземного и водного транспорта, развития гражданской авиации и обеспечения воздушной безопасности;</w:t>
      </w:r>
    </w:p>
    <w:p>
      <w:pPr>
        <w:spacing w:after="60"/>
        <w:ind w:firstLine="567"/>
        <w:jc w:val="both"/>
      </w:pPr>
      <w:r>
        <w:rPr>
          <w:rFonts w:ascii="Arial" w:cs="Arial" w:eastAsia="Arial" w:hAnsi="Arial"/>
          <w:sz w:val="24"/>
          <w:szCs w:val="24"/>
        </w:rPr>
        <w:t xml:space="preserve">- рост деятельности гостиниц и ресторанов на уровне 108,0%, где основным фактором роста объемов будет увеличение притока туристов из ближнего и дальнего зарубежья. Этому будет способствовать повышение эффективности государственного регулирования развития туристской индустрии (создание фонда туризма с уставным капиталом 1,0 млрд. сомов), открытие культурного центра в г.Каракол и организация туристических ярмарок в России и других странах. Кроме того, снятие ограничений после пандемии должно привести к увеличению количества внутренних туристов, расширению сети ресторанов и гостиниц, улучшению качества обслуживания;</w:t>
      </w:r>
    </w:p>
    <w:p>
      <w:pPr>
        <w:spacing w:after="60"/>
        <w:ind w:firstLine="567"/>
        <w:jc w:val="both"/>
      </w:pPr>
      <w:r>
        <w:rPr>
          <w:rFonts w:ascii="Arial" w:cs="Arial" w:eastAsia="Arial" w:hAnsi="Arial"/>
          <w:sz w:val="24"/>
          <w:szCs w:val="24"/>
        </w:rPr>
        <w:t xml:space="preserve">- рост услуг связи на уровне 102,8% за счет создания новых продуктов в цифровом формате, которые будут способствовать к увеличению спроса на интернет-трафик; предоставление населению высокотехнологичных, доступных информационно-коммуникационных услуг. Развитие телекоммуникационной инфраструктуры в прогнозируемом периоде станет одним из важнейших благоприятных факторов подъема национальной экономики и роста деловой активности населения;</w:t>
      </w:r>
    </w:p>
    <w:p>
      <w:pPr>
        <w:spacing w:after="60"/>
        <w:ind w:firstLine="567"/>
        <w:jc w:val="both"/>
      </w:pPr>
      <w:r>
        <w:rPr>
          <w:rFonts w:ascii="Arial" w:cs="Arial" w:eastAsia="Arial" w:hAnsi="Arial"/>
          <w:sz w:val="24"/>
          <w:szCs w:val="24"/>
        </w:rPr>
        <w:t xml:space="preserve">- улучшение экономической ситуации в государствах-членах ЕАЭС;</w:t>
      </w:r>
    </w:p>
    <w:p>
      <w:pPr>
        <w:spacing w:after="60"/>
        <w:ind w:firstLine="567"/>
        <w:jc w:val="both"/>
      </w:pPr>
      <w:r>
        <w:rPr>
          <w:rFonts w:ascii="Arial" w:cs="Arial" w:eastAsia="Arial" w:hAnsi="Arial"/>
          <w:sz w:val="24"/>
          <w:szCs w:val="24"/>
        </w:rPr>
        <w:t xml:space="preserve">- улучшение системы регулирования предпринимательской деятельности;</w:t>
      </w:r>
    </w:p>
    <w:p>
      <w:pPr>
        <w:spacing w:after="60"/>
        <w:ind w:firstLine="567"/>
        <w:jc w:val="both"/>
      </w:pPr>
      <w:r>
        <w:rPr>
          <w:rFonts w:ascii="Arial" w:cs="Arial" w:eastAsia="Arial" w:hAnsi="Arial"/>
          <w:sz w:val="24"/>
          <w:szCs w:val="24"/>
        </w:rPr>
        <w:t xml:space="preserve">- активизация проведения мероприятий по выводу из тени.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отраслях сферы услуг, в процентах</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87"/>
        <w:gridCol w:w="826"/>
        <w:gridCol w:w="1065"/>
      </w:tblGrid>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 всего</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103,3</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104,6</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8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Возможные риски:</w:t>
      </w:r>
    </w:p>
    <w:p>
      <w:pPr>
        <w:spacing w:after="60"/>
        <w:ind w:firstLine="567"/>
        <w:jc w:val="both"/>
      </w:pPr>
      <w:r>
        <w:rPr>
          <w:rFonts w:ascii="Arial" w:cs="Arial" w:eastAsia="Arial" w:hAnsi="Arial"/>
          <w:sz w:val="24"/>
          <w:szCs w:val="24"/>
        </w:rPr>
        <w:t xml:space="preserve">- возможная нестабильная политическая обстановка в регионе, введение ограничений в связи с продолжением распространения инфекции COVID-19;</w:t>
      </w:r>
    </w:p>
    <w:p>
      <w:pPr>
        <w:spacing w:after="60"/>
        <w:ind w:firstLine="567"/>
        <w:jc w:val="both"/>
      </w:pPr>
      <w:r>
        <w:rPr>
          <w:rFonts w:ascii="Arial" w:cs="Arial" w:eastAsia="Arial" w:hAnsi="Arial"/>
          <w:sz w:val="24"/>
          <w:szCs w:val="24"/>
        </w:rPr>
        <w:t xml:space="preserve">- низкий уровень оснащенности отечественных перевозчиков, отсутствие соответствующего авиапарка у отечественных авиаперевозчиков;</w:t>
      </w:r>
    </w:p>
    <w:p>
      <w:pPr>
        <w:spacing w:after="60"/>
        <w:ind w:firstLine="567"/>
        <w:jc w:val="both"/>
      </w:pPr>
      <w:r>
        <w:rPr>
          <w:rFonts w:ascii="Arial" w:cs="Arial" w:eastAsia="Arial" w:hAnsi="Arial"/>
          <w:sz w:val="24"/>
          <w:szCs w:val="24"/>
        </w:rPr>
        <w:t xml:space="preserve">- сохранение высоких цен на товары народного потребления, ГСМ, удобрения, сырье и другие необходимые товары;</w:t>
      </w:r>
    </w:p>
    <w:p>
      <w:pPr>
        <w:spacing w:after="60"/>
        <w:ind w:firstLine="567"/>
        <w:jc w:val="both"/>
      </w:pPr>
      <w:r>
        <w:rPr>
          <w:rFonts w:ascii="Arial" w:cs="Arial" w:eastAsia="Arial" w:hAnsi="Arial"/>
          <w:sz w:val="24"/>
          <w:szCs w:val="24"/>
        </w:rPr>
        <w:t xml:space="preserve">- ограничение поступлений прямых иностранных инвестиций в республику;</w:t>
      </w:r>
    </w:p>
    <w:p>
      <w:pPr>
        <w:spacing w:after="60"/>
        <w:ind w:firstLine="567"/>
        <w:jc w:val="both"/>
      </w:pPr>
      <w:r>
        <w:rPr>
          <w:rFonts w:ascii="Arial" w:cs="Arial" w:eastAsia="Arial" w:hAnsi="Arial"/>
          <w:sz w:val="24"/>
          <w:szCs w:val="24"/>
        </w:rPr>
        <w:t xml:space="preserve">- снижение поступлений денежных переводов от мигрантов;</w:t>
      </w:r>
    </w:p>
    <w:p>
      <w:pPr>
        <w:spacing w:after="60"/>
        <w:ind w:firstLine="567"/>
        <w:jc w:val="both"/>
      </w:pPr>
      <w:r>
        <w:rPr>
          <w:rFonts w:ascii="Arial" w:cs="Arial" w:eastAsia="Arial" w:hAnsi="Arial"/>
          <w:sz w:val="24"/>
          <w:szCs w:val="24"/>
        </w:rPr>
        <w:t xml:space="preserve">- технологическая отсталость предприятий, оказывающих услуги;</w:t>
      </w:r>
    </w:p>
    <w:p>
      <w:pPr>
        <w:spacing w:after="60"/>
        <w:ind w:firstLine="567"/>
        <w:jc w:val="both"/>
      </w:pPr>
      <w:r>
        <w:rPr>
          <w:rFonts w:ascii="Arial" w:cs="Arial" w:eastAsia="Arial" w:hAnsi="Arial"/>
          <w:sz w:val="24"/>
          <w:szCs w:val="24"/>
        </w:rPr>
        <w:t xml:space="preserve">- замедление геологоразведочных работ из-за переориентации некоторых компаний на более успешные проекты в страны Центральной Азии и Европы;</w:t>
      </w:r>
    </w:p>
    <w:p>
      <w:pPr>
        <w:spacing w:after="60"/>
        <w:ind w:firstLine="567"/>
        <w:jc w:val="both"/>
      </w:pPr>
      <w:r>
        <w:rPr>
          <w:rFonts w:ascii="Arial" w:cs="Arial" w:eastAsia="Arial" w:hAnsi="Arial"/>
          <w:sz w:val="24"/>
          <w:szCs w:val="24"/>
        </w:rPr>
        <w:t xml:space="preserve">- волатильность курса национальной валюты и др.</w:t>
      </w:r>
    </w:p>
    <w:p>
      <w:pPr>
        <w:spacing w:after="60" w:before="200"/>
        <w:ind w:firstLine="567"/>
        <w:jc w:val="both"/>
      </w:pPr>
      <w:r>
        <w:rPr>
          <w:rFonts w:ascii="Arial" w:cs="Arial" w:eastAsia="Arial" w:hAnsi="Arial"/>
          <w:b/>
          <w:bCs/>
          <w:sz w:val="24"/>
          <w:szCs w:val="24"/>
        </w:rPr>
        <w:t xml:space="preserve">6.8. Внешнеэкономическая деятельность</w:t>
      </w:r>
    </w:p>
    <w:p>
      <w:pPr>
        <w:spacing w:after="60"/>
        <w:ind w:firstLine="567"/>
        <w:jc w:val="both"/>
      </w:pPr>
      <w:r>
        <w:rPr>
          <w:rFonts w:ascii="Arial" w:cs="Arial" w:eastAsia="Arial" w:hAnsi="Arial"/>
          <w:sz w:val="24"/>
          <w:szCs w:val="24"/>
        </w:rPr>
        <w:t xml:space="preserve">Внешнеэкономическая деятельность в 2023 году будет направлена на создание благоприятных условий для роста и развития экспортного потенциала республики, активное участие республики в мирохозяйственных связях, способствующего повышению его статуса, как государства со стабильной и предсказуемой торговой политикой. Это окажет позитивное влияние как на деловую среду, так и на инвестиционную деятельность товаропроизводителей.</w:t>
      </w:r>
    </w:p>
    <w:p>
      <w:pPr>
        <w:spacing w:after="60"/>
        <w:ind w:firstLine="567"/>
        <w:jc w:val="both"/>
      </w:pPr>
      <w:r>
        <w:rPr>
          <w:rFonts w:ascii="Arial" w:cs="Arial" w:eastAsia="Arial" w:hAnsi="Arial"/>
          <w:sz w:val="24"/>
          <w:szCs w:val="24"/>
        </w:rPr>
        <w:t xml:space="preserve">В сложившихся условиях, учитывая нарушения цепочек поставок из-за санкционного режима, будет проводиться активная работа по диверсификации направлений рынков, созданию в перспективе Регионального Бизнес-Центра, позволяющего стать своеобразным перекрестком кратчайших транспортных путей, торговых, финансовых и информационных потоков.</w:t>
      </w:r>
    </w:p>
    <w:p>
      <w:pPr>
        <w:spacing w:after="60"/>
        <w:ind w:firstLine="567"/>
        <w:jc w:val="both"/>
      </w:pPr>
      <w:r>
        <w:rPr>
          <w:rFonts w:ascii="Arial" w:cs="Arial" w:eastAsia="Arial" w:hAnsi="Arial"/>
          <w:sz w:val="24"/>
          <w:szCs w:val="24"/>
        </w:rPr>
        <w:t xml:space="preserve">Основными направлениями деятельности будут: дальнейшее расширение рынков экспорта через активизацию работы по выходу отечественной продукции на целевые рынки, активизация инструментов экономической дипломатии для продвижения торгово-экономических интересов страны, реализация мероприятий по использованию преимуществ от получения статуса бенефициара "ВСП+", которая предоставляет возможность развивающимся странам импортировать в Европейский союз без пошлин.</w:t>
      </w:r>
    </w:p>
    <w:p>
      <w:pPr>
        <w:spacing w:after="60"/>
        <w:ind w:firstLine="567"/>
        <w:jc w:val="both"/>
      </w:pPr>
      <w:r>
        <w:rPr>
          <w:rFonts w:ascii="Arial" w:cs="Arial" w:eastAsia="Arial" w:hAnsi="Arial"/>
          <w:sz w:val="24"/>
          <w:szCs w:val="24"/>
        </w:rPr>
        <w:t xml:space="preserve">Продолжатся разработка и реализация Национальной экспортной программы "Сделано в Кыргызстане" на 2023-2026 годы. В целом увеличение экспорта будет реализовываться за счет существующих приоритетных секторов, продукция которых имеет устойчивую экспортную направленность, а также через решение задач в четырех кросс-отраслевых сектора, не специфичных для отраслей, но имеющих равное значение для всех экспортных предприятий и позволяющих им реализовать возможности глобального рынка:</w:t>
      </w:r>
    </w:p>
    <w:p>
      <w:pPr>
        <w:spacing w:after="60"/>
        <w:ind w:firstLine="567"/>
        <w:jc w:val="both"/>
      </w:pPr>
      <w:r>
        <w:rPr>
          <w:rFonts w:ascii="Arial" w:cs="Arial" w:eastAsia="Arial" w:hAnsi="Arial"/>
          <w:sz w:val="24"/>
          <w:szCs w:val="24"/>
        </w:rPr>
        <w:t xml:space="preserve">1) инфраструктура качества;</w:t>
      </w:r>
    </w:p>
    <w:p>
      <w:pPr>
        <w:spacing w:after="60"/>
        <w:ind w:firstLine="567"/>
        <w:jc w:val="both"/>
      </w:pPr>
      <w:r>
        <w:rPr>
          <w:rFonts w:ascii="Arial" w:cs="Arial" w:eastAsia="Arial" w:hAnsi="Arial"/>
          <w:sz w:val="24"/>
          <w:szCs w:val="24"/>
        </w:rPr>
        <w:t xml:space="preserve">2) стимулирование экспорта;</w:t>
      </w:r>
    </w:p>
    <w:p>
      <w:pPr>
        <w:spacing w:after="60"/>
        <w:ind w:firstLine="567"/>
        <w:jc w:val="both"/>
      </w:pPr>
      <w:r>
        <w:rPr>
          <w:rFonts w:ascii="Arial" w:cs="Arial" w:eastAsia="Arial" w:hAnsi="Arial"/>
          <w:sz w:val="24"/>
          <w:szCs w:val="24"/>
        </w:rPr>
        <w:t xml:space="preserve">3) доступ к финансам;</w:t>
      </w:r>
    </w:p>
    <w:p>
      <w:pPr>
        <w:spacing w:after="60"/>
        <w:ind w:firstLine="567"/>
        <w:jc w:val="both"/>
      </w:pPr>
      <w:r>
        <w:rPr>
          <w:rFonts w:ascii="Arial" w:cs="Arial" w:eastAsia="Arial" w:hAnsi="Arial"/>
          <w:sz w:val="24"/>
          <w:szCs w:val="24"/>
        </w:rPr>
        <w:t xml:space="preserve">4) упрощение процедур торговли.</w:t>
      </w:r>
    </w:p>
    <w:p>
      <w:pPr>
        <w:spacing w:after="60"/>
        <w:ind w:firstLine="567"/>
        <w:jc w:val="both"/>
      </w:pPr>
      <w:r>
        <w:rPr>
          <w:rFonts w:ascii="Arial" w:cs="Arial" w:eastAsia="Arial" w:hAnsi="Arial"/>
          <w:sz w:val="24"/>
          <w:szCs w:val="24"/>
        </w:rPr>
        <w:t xml:space="preserve">В рамках Национальной экспортной программы "Сделано в Кыргызстане" на 2023-2026 годы поставлена задача диверсификации внешнеэкономических ориентиров Кыргызстана через развитие взаимовыгодного торгово-экономического и инвестиционного сотрудничества со странами Южной и Юго-Восточной Азии, Арабского Востока, Америки, а также оказание содействия в продвижении экспорта отечественной продукции на рынки стран сопредельных государств, ЕАЭС и ЕС на основе статуса "ВСП+".</w:t>
      </w:r>
    </w:p>
    <w:p>
      <w:pPr>
        <w:spacing w:after="60"/>
        <w:ind w:firstLine="567"/>
        <w:jc w:val="both"/>
      </w:pPr>
      <w:r>
        <w:rPr>
          <w:rFonts w:ascii="Arial" w:cs="Arial" w:eastAsia="Arial" w:hAnsi="Arial"/>
          <w:sz w:val="24"/>
          <w:szCs w:val="24"/>
        </w:rPr>
        <w:t xml:space="preserve">В целях содействия в продвижении экспортных товаров будет осуществляться деятельность Российско-Кыргызского, Кыргызско-Узбекского и Кыргызско-Венгерского фондов развития по вопросам поддержки наиболее перспективных проектов в ключевых экспортоориентированных секторах экономики, таких как сельское хозяйство, легкая промышленность, пищевая промышленность и т.д.</w:t>
      </w:r>
    </w:p>
    <w:p>
      <w:pPr>
        <w:spacing w:after="60"/>
        <w:ind w:firstLine="567"/>
        <w:jc w:val="both"/>
      </w:pPr>
      <w:r>
        <w:rPr>
          <w:rFonts w:ascii="Arial" w:cs="Arial" w:eastAsia="Arial" w:hAnsi="Arial"/>
          <w:sz w:val="24"/>
          <w:szCs w:val="24"/>
        </w:rPr>
        <w:t xml:space="preserve">Продолжится разработка мер по обеспечению экспорториентированных производителей доступными финансовыми ресурсами. Наряду со сформировавшимися инструментами кредитования сельского хозяйства будут разрабатываться дополнительные финансовые инструменты по поддержке экспорта сельскохозяйственной продукции и продукции переработки, развиваться механизм факторинговых операций.</w:t>
      </w:r>
    </w:p>
    <w:p>
      <w:pPr>
        <w:spacing w:after="60"/>
        <w:ind w:firstLine="567"/>
        <w:jc w:val="both"/>
      </w:pPr>
      <w:r>
        <w:rPr>
          <w:rFonts w:ascii="Arial" w:cs="Arial" w:eastAsia="Arial" w:hAnsi="Arial"/>
          <w:sz w:val="24"/>
          <w:szCs w:val="24"/>
        </w:rPr>
        <w:t xml:space="preserve">Вместе с тем учитывая защитные действия, принимаемые рядом стран в отношении товаров первой необходимости из-за конфликта между Российской Федерацией и Украиной, разрыв глобальных цепочек поставок, экспортная политика будут корректироваться с учетом необходимости обеспечения в первую очередь потребностей внутренних рынков стран, в том числе и введения ограничений на экспорт отдельных категорий товаров.</w:t>
      </w:r>
    </w:p>
    <w:p>
      <w:pPr>
        <w:spacing w:after="60"/>
        <w:ind w:firstLine="567"/>
        <w:jc w:val="both"/>
      </w:pPr>
      <w:r>
        <w:rPr>
          <w:rFonts w:ascii="Arial" w:cs="Arial" w:eastAsia="Arial" w:hAnsi="Arial"/>
          <w:sz w:val="24"/>
          <w:szCs w:val="24"/>
        </w:rPr>
        <w:t xml:space="preserve">Для наращивания экспортных возможностей страны в первую очередь будут решаться вопросы простоты, удобства и скорости внешнеторговых операций, осуществляемых участниками внешнеэкономической деятельности. Будут приниматься меры направленные на сокращение количества процедур, времени и материальных затрат при экспортно-импортных операциях.</w:t>
      </w:r>
    </w:p>
    <w:p>
      <w:pPr>
        <w:spacing w:after="60"/>
        <w:ind w:firstLine="567"/>
        <w:jc w:val="both"/>
      </w:pPr>
      <w:r>
        <w:rPr>
          <w:rFonts w:ascii="Arial" w:cs="Arial" w:eastAsia="Arial" w:hAnsi="Arial"/>
          <w:sz w:val="24"/>
          <w:szCs w:val="24"/>
        </w:rPr>
        <w:t xml:space="preserve">С этой целью продолжится осуществление мер по реализации Соглашения Всемирной торговой организации по упрощению процедур торговли и других мероприятий по упрощению торговых и транспортных процедур Кыргызской Республики.</w:t>
      </w:r>
    </w:p>
    <w:p>
      <w:pPr>
        <w:spacing w:after="60"/>
        <w:ind w:firstLine="567"/>
        <w:jc w:val="both"/>
      </w:pPr>
      <w:r>
        <w:rPr>
          <w:rFonts w:ascii="Arial" w:cs="Arial" w:eastAsia="Arial" w:hAnsi="Arial"/>
          <w:sz w:val="24"/>
          <w:szCs w:val="24"/>
        </w:rPr>
        <w:t xml:space="preserve">Для продвижения отечественной продукции на внешних рынках будет прорабатываться вопрос о назначении торговых представителей в ряде стран, которые являются основными торговыми партнерами Кыргызской Республики.</w:t>
      </w:r>
    </w:p>
    <w:p>
      <w:pPr>
        <w:spacing w:after="60"/>
        <w:ind w:firstLine="567"/>
        <w:jc w:val="both"/>
      </w:pPr>
      <w:r>
        <w:rPr>
          <w:rFonts w:ascii="Arial" w:cs="Arial" w:eastAsia="Arial" w:hAnsi="Arial"/>
          <w:sz w:val="24"/>
          <w:szCs w:val="24"/>
        </w:rPr>
        <w:t xml:space="preserve">Целевыми рынками для экспорта продукции товаров и услуг отечественной продукции являются страны-члены ЕАЭС, Китай, Турция и Узбекистан.</w:t>
      </w:r>
    </w:p>
    <w:p>
      <w:pPr>
        <w:spacing w:after="60"/>
        <w:ind w:firstLine="567"/>
        <w:jc w:val="both"/>
      </w:pPr>
      <w:r>
        <w:rPr>
          <w:rFonts w:ascii="Arial" w:cs="Arial" w:eastAsia="Arial" w:hAnsi="Arial"/>
          <w:sz w:val="24"/>
          <w:szCs w:val="24"/>
        </w:rPr>
        <w:t xml:space="preserve">Совместно с партнерами по интеграции Кыргызская Республика будет проводить активную работу по созданию зон свободной торговли между ЕАЭС и третьими странами в целях развития товарной и географической диверсификации кыргызского экспорта.</w:t>
      </w:r>
    </w:p>
    <w:p>
      <w:pPr>
        <w:spacing w:after="60"/>
        <w:ind w:firstLine="567"/>
        <w:jc w:val="both"/>
      </w:pPr>
      <w:r>
        <w:rPr>
          <w:rFonts w:ascii="Arial" w:cs="Arial" w:eastAsia="Arial" w:hAnsi="Arial"/>
          <w:sz w:val="24"/>
          <w:szCs w:val="24"/>
        </w:rPr>
        <w:t xml:space="preserve">Вместе с тем разработан проект Программы и План мероприятий по поддержке и развитию электронной коммерции в Кыргызской Республике на 2022-2027 годы. Основной целью и задачей данного проекта Программы и Плана мероприятий являются проведение реформ, мер и действий, которые должны быть направлены на оптимизацию государственного регулирования, улучшение качества институциональной среды и создание благоприятных условий для развития электронной коммерции в Кыргызской Республике.</w:t>
      </w:r>
    </w:p>
    <w:p>
      <w:pPr>
        <w:spacing w:after="60"/>
        <w:ind w:firstLine="567"/>
        <w:jc w:val="both"/>
      </w:pPr>
      <w:r>
        <w:rPr>
          <w:rFonts w:ascii="Arial" w:cs="Arial" w:eastAsia="Arial" w:hAnsi="Arial"/>
          <w:sz w:val="24"/>
          <w:szCs w:val="24"/>
        </w:rPr>
        <w:t xml:space="preserve">Будет продолжена реализация принципа эскалации тарифа с учетом необходимости обеспечения отраслей экономики сырьем, материалами и инвестиционными товарами по конкурентным ценам.</w:t>
      </w:r>
    </w:p>
    <w:p>
      <w:pPr>
        <w:spacing w:after="60"/>
        <w:ind w:firstLine="567"/>
        <w:jc w:val="both"/>
      </w:pPr>
      <w:r>
        <w:rPr>
          <w:rFonts w:ascii="Arial" w:cs="Arial" w:eastAsia="Arial" w:hAnsi="Arial"/>
          <w:sz w:val="24"/>
          <w:szCs w:val="24"/>
        </w:rPr>
        <w:t xml:space="preserve">В связи с наблюдающимися экономическими вызовами производители потребительски значимых товаров государств-членов ЕАЭС будут сталкиваться с трудностями, связанными с прекращением поставок импортируемого сырья и прерыванием существующих логистических цепочек.</w:t>
      </w:r>
    </w:p>
    <w:p>
      <w:pPr>
        <w:spacing w:after="60"/>
        <w:ind w:firstLine="567"/>
        <w:jc w:val="both"/>
      </w:pPr>
      <w:r>
        <w:rPr>
          <w:rFonts w:ascii="Arial" w:cs="Arial" w:eastAsia="Arial" w:hAnsi="Arial"/>
          <w:sz w:val="24"/>
          <w:szCs w:val="24"/>
        </w:rPr>
        <w:t xml:space="preserve">В целях оказания первоочередных мер поддержки, направленных на повышение устойчивости Союза, насыщения внутреннего рынка необходимыми товарами в существующих условиях и реализации мер, направленных на повышение устойчивости экономик государств-членов ЕАЭС, будет продолжена работа по снижению ставок таможенных пошлин и установлению тарифной льготы в отношении критических товаров и сырья, используемой в приоритетных промышленных и аграрных отраслях государств-членов ЕАЭС.</w:t>
      </w:r>
    </w:p>
    <w:p>
      <w:pPr>
        <w:spacing w:after="60"/>
        <w:ind w:firstLine="567"/>
        <w:jc w:val="both"/>
      </w:pPr>
      <w:r>
        <w:rPr>
          <w:rFonts w:ascii="Arial" w:cs="Arial" w:eastAsia="Arial" w:hAnsi="Arial"/>
          <w:sz w:val="24"/>
          <w:szCs w:val="24"/>
        </w:rPr>
        <w:t xml:space="preserve">Снижение ввозных пошлин, а также реализация Соглашения Всемирной торговой организации по упрощению процедур торговли окажут положительное влияние на рост объемов импорта, и будут стимулировать сокращение "серого" импорта.</w:t>
      </w:r>
    </w:p>
    <w:p>
      <w:pPr>
        <w:spacing w:after="60"/>
        <w:ind w:firstLine="567"/>
        <w:jc w:val="both"/>
      </w:pPr>
      <w:r>
        <w:rPr>
          <w:rFonts w:ascii="Arial" w:cs="Arial" w:eastAsia="Arial" w:hAnsi="Arial"/>
          <w:sz w:val="24"/>
          <w:szCs w:val="24"/>
        </w:rPr>
        <w:t xml:space="preserve">В результате объем внешнеторгового оборота прогнозируется на уровне 9,2 млрд. долл. США, с номинальным превышением уровня 2022 года на 7,6%.</w:t>
      </w:r>
    </w:p>
    <w:p>
      <w:pPr>
        <w:spacing w:after="60"/>
        <w:ind w:firstLine="567"/>
        <w:jc w:val="both"/>
      </w:pPr>
      <w:r>
        <w:rPr>
          <w:rFonts w:ascii="Arial" w:cs="Arial" w:eastAsia="Arial" w:hAnsi="Arial"/>
          <w:sz w:val="24"/>
          <w:szCs w:val="24"/>
        </w:rPr>
        <w:t xml:space="preserve">Прогнозируется, что номинальный объем экспортных поставок составит до 1,75 млрд. долл. США, и темп роста сложится на уровне 9,4%, за счет увеличения цемента на 5,8%, предметов одежды и одежных принадлежностей - на 27,4%, овощи и фрукты - на 15,0% и др.</w:t>
      </w:r>
    </w:p>
    <w:p>
      <w:pPr>
        <w:spacing w:after="60"/>
        <w:ind w:firstLine="567"/>
        <w:jc w:val="both"/>
      </w:pPr>
      <w:r>
        <w:rPr>
          <w:rFonts w:ascii="Arial" w:cs="Arial" w:eastAsia="Arial" w:hAnsi="Arial"/>
          <w:sz w:val="24"/>
          <w:szCs w:val="24"/>
        </w:rPr>
        <w:t xml:space="preserve">Объем импорта сложится в размере 7,5 млрд. долл. США и номинальный рост составит 107,1%, который будет определяться ростом потребительского спроса, связанным с увеличением объемов поставок нефти и нефтепродуктов - на 32,5%, природного газа - на 2,7%, промежуточных товаров, а также потребительских товаров.</w:t>
      </w:r>
    </w:p>
    <w:p>
      <w:pPr>
        <w:spacing w:after="60"/>
        <w:ind w:firstLine="567"/>
        <w:jc w:val="both"/>
      </w:pPr>
      <w:r>
        <w:rPr>
          <w:rFonts w:ascii="Arial" w:cs="Arial" w:eastAsia="Arial" w:hAnsi="Arial"/>
          <w:sz w:val="24"/>
          <w:szCs w:val="24"/>
        </w:rPr>
        <w:t xml:space="preserve">В результате отрицательное сальдо экспорта и импорта товаров сложится на уровне 5,7 млрд. долл. США. Это обусловлено сокращением экспорта золота, увеличением объема импорта нефтепродуктов, а также электроэнергии в целях покрытия дефицита внутреннего потребления из-за уменьшения выработки электроэнергии в связи с наступлением маловодного периода.</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ухудшится с - 32,5% в 2022 году до - 33,1% в 2023 году.</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ВВП по использованию (в % к ВВП)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08"/>
        <w:gridCol w:w="1726"/>
        <w:gridCol w:w="1244"/>
      </w:tblGrid>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Потребление</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105,1</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104,9</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Валовые инвестиции</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27,5</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Программы государственных инвестиций (внешние)</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r>
      <w:tr>
        <w:tc>
          <w:tcPr>
            <w:tcW w:type="dxa" w:w="7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 По методике МВФ.</w:t>
      </w:r>
    </w:p>
    <w:p>
      <w:pPr>
        <w:spacing w:after="60"/>
        <w:ind w:firstLine="567"/>
        <w:jc w:val="both"/>
      </w:pPr>
      <w:r>
        <w:rPr>
          <w:rFonts w:ascii="Arial" w:cs="Arial" w:eastAsia="Arial" w:hAnsi="Arial"/>
          <w:sz w:val="24"/>
          <w:szCs w:val="24"/>
        </w:rPr>
        <w:t xml:space="preserve">Принимаемые меры по улучшению благосостояния населения, увеличению размера доходов населения, а также прогнозируемое увеличение объемов импорта и рост денежных переводов позволят увеличить потребление. Рост уровня потребления прогнозируется на уровне 3,7%.</w:t>
      </w:r>
    </w:p>
    <w:p>
      <w:pPr>
        <w:spacing w:after="60"/>
        <w:ind w:firstLine="567"/>
        <w:jc w:val="both"/>
      </w:pPr>
      <w:r>
        <w:rPr>
          <w:rFonts w:ascii="Arial" w:cs="Arial" w:eastAsia="Arial" w:hAnsi="Arial"/>
          <w:sz w:val="24"/>
          <w:szCs w:val="24"/>
        </w:rPr>
        <w:t xml:space="preserve">Прогнозируется, что в 2023 году доля частного потребления составит 87,7% от объема ВВП, темп реального роста сложится на уровне 104,2%. Частные потребительские расходы будут подкреплены прогнозируемым номинальным ростом денежных доходов населения на 13,3% за счет создания новых рабочих мест, ростом средней номинальной заработной платы на 10,3% и размеров социальных выплат.</w:t>
      </w:r>
    </w:p>
    <w:p>
      <w:pPr>
        <w:spacing w:after="60"/>
        <w:ind w:firstLine="567"/>
        <w:jc w:val="both"/>
      </w:pPr>
      <w:r>
        <w:rPr>
          <w:rFonts w:ascii="Arial" w:cs="Arial" w:eastAsia="Arial" w:hAnsi="Arial"/>
          <w:sz w:val="24"/>
          <w:szCs w:val="24"/>
        </w:rPr>
        <w:t xml:space="preserve">Последствия принимаемых мер в 2020-2021 годах, направленных на борьбу с пандемией COVID-19, снижение экономической активности из-за сложившейся геополитической ситуации, торговые барьеры отразились на объемах валовых инвестиций в структуре ВВП.</w:t>
      </w:r>
    </w:p>
    <w:p>
      <w:pPr>
        <w:spacing w:after="60"/>
        <w:ind w:firstLine="567"/>
        <w:jc w:val="both"/>
      </w:pPr>
      <w:r>
        <w:rPr>
          <w:rFonts w:ascii="Arial" w:cs="Arial" w:eastAsia="Arial" w:hAnsi="Arial"/>
          <w:sz w:val="24"/>
          <w:szCs w:val="24"/>
        </w:rPr>
        <w:t xml:space="preserve">В 2020-2021 годах снизились доли с 36,1% в 2019 году до 27,5% в 2022 году.</w:t>
      </w:r>
    </w:p>
    <w:p>
      <w:pPr>
        <w:spacing w:after="60"/>
        <w:ind w:firstLine="567"/>
        <w:jc w:val="both"/>
      </w:pPr>
      <w:r>
        <w:rPr>
          <w:rFonts w:ascii="Arial" w:cs="Arial" w:eastAsia="Arial" w:hAnsi="Arial"/>
          <w:sz w:val="24"/>
          <w:szCs w:val="24"/>
        </w:rPr>
        <w:t xml:space="preserve">В связи с реализацией крупных инвестиционных проектов в энергетике, активизацией деятельности ОАО "Кыргызиндустрия" и ОАО "Национальная холдинговая компания "Наследие великих кочевников" по привлечению инвестиций, взаимодействию с международными корпорациями, созданию совместных предприятий, в 2023 году прогнозируется некоторое увеличение доли государственных компаний в инвестиционных проектах до 28,1%, с последующим увеличением в 2024-2027 годы.</w:t>
      </w:r>
    </w:p>
    <w:p>
      <w:pPr>
        <w:spacing w:after="60"/>
        <w:ind w:firstLine="567"/>
        <w:jc w:val="both"/>
      </w:pPr>
      <w:r>
        <w:rPr>
          <w:rFonts w:ascii="Arial" w:cs="Arial" w:eastAsia="Arial" w:hAnsi="Arial"/>
          <w:sz w:val="24"/>
          <w:szCs w:val="24"/>
        </w:rPr>
        <w:t xml:space="preserve">Для развития экономики необходима активизация инвестиционных процессов, основными источниками роста финансирования инвестиций являются средства предприятий, бюджета, кредитов, средства населения и прямые иностранные инвестиции.</w:t>
      </w:r>
    </w:p>
    <w:p>
      <w:pPr>
        <w:spacing w:after="60" w:before="200"/>
        <w:ind w:firstLine="567"/>
        <w:jc w:val="both"/>
      </w:pPr>
      <w:r>
        <w:rPr>
          <w:rFonts w:ascii="Arial" w:cs="Arial" w:eastAsia="Arial" w:hAnsi="Arial"/>
          <w:b/>
          <w:bCs/>
          <w:sz w:val="24"/>
          <w:szCs w:val="24"/>
        </w:rPr>
        <w:t xml:space="preserve">6.9. Региональное развитие</w:t>
      </w:r>
    </w:p>
    <w:p>
      <w:pPr>
        <w:spacing w:after="60"/>
        <w:ind w:firstLine="567"/>
        <w:jc w:val="both"/>
      </w:pPr>
      <w:r>
        <w:rPr>
          <w:rFonts w:ascii="Arial" w:cs="Arial" w:eastAsia="Arial" w:hAnsi="Arial"/>
          <w:sz w:val="24"/>
          <w:szCs w:val="24"/>
        </w:rPr>
        <w:t xml:space="preserve">Основные направления развития регионов страны будут осуществляться в рамках реализации </w:t>
      </w:r>
      <w:hyperlink w:history="1" r:id="rIdtfoto1vcyzztd3ahfjdc0">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w:t>
      </w:r>
      <w:hyperlink w:history="1" r:id="rIdzsrwbqh-sqxw-972edng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12 октября 2021 года № 435), где предусмотрены переход к комплексному развитию и реформам административно-территориального устройства.</w:t>
      </w:r>
    </w:p>
    <w:p>
      <w:pPr>
        <w:spacing w:after="60"/>
        <w:ind w:firstLine="567"/>
        <w:jc w:val="both"/>
      </w:pPr>
      <w:r>
        <w:rPr>
          <w:rFonts w:ascii="Arial" w:cs="Arial" w:eastAsia="Arial" w:hAnsi="Arial"/>
          <w:sz w:val="24"/>
          <w:szCs w:val="24"/>
        </w:rPr>
        <w:t xml:space="preserve">Будет пересмотрено распределение доходов между республиканским и местным бюджетами с целью расширения возможностей на местах. Для конкретных приграничных территорий будут подготовлены специализированные программы развития с учетом их особого статуса.</w:t>
      </w:r>
    </w:p>
    <w:p>
      <w:pPr>
        <w:spacing w:after="60"/>
        <w:ind w:firstLine="567"/>
        <w:jc w:val="both"/>
      </w:pPr>
      <w:r>
        <w:rPr>
          <w:rFonts w:ascii="Arial" w:cs="Arial" w:eastAsia="Arial" w:hAnsi="Arial"/>
          <w:sz w:val="24"/>
          <w:szCs w:val="24"/>
        </w:rPr>
        <w:t xml:space="preserve">На основе принципов территориально-кластерного развития будут подготовлены генеральные планы развития территорий с обязательствами государства по развитию соответствующей жизненно важной инфраструктуры.</w:t>
      </w:r>
    </w:p>
    <w:p>
      <w:pPr>
        <w:spacing w:after="60"/>
        <w:ind w:firstLine="567"/>
        <w:jc w:val="both"/>
      </w:pPr>
      <w:r>
        <w:rPr>
          <w:rFonts w:ascii="Arial" w:cs="Arial" w:eastAsia="Arial" w:hAnsi="Arial"/>
          <w:sz w:val="24"/>
          <w:szCs w:val="24"/>
        </w:rPr>
        <w:t xml:space="preserve">Политика в сфере питьевого водоснабжения будет направлена на создание экономически устойчивой, доступной услуги по безопасному и качественному водоснабжению, обеспечение каждого населенного пункта страны чистой питьевой водой. Ежегодно будет осуществляться подключение около 100 населенных пунктов республики к объектам чистой и безопасной питьевой воды.</w:t>
      </w:r>
    </w:p>
    <w:p>
      <w:pPr>
        <w:spacing w:after="60"/>
        <w:ind w:firstLine="567"/>
        <w:jc w:val="both"/>
      </w:pPr>
      <w:r>
        <w:rPr>
          <w:rFonts w:ascii="Arial" w:cs="Arial" w:eastAsia="Arial" w:hAnsi="Arial"/>
          <w:sz w:val="24"/>
          <w:szCs w:val="24"/>
        </w:rPr>
        <w:t xml:space="preserve">В рамках </w:t>
      </w:r>
      <w:hyperlink w:history="1" r:id="rIdu2t1r_bftjime2eazfa2s">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по обеспечению безопасности и социально-экономическому развитию отдельных приграничных территорий Кыргызской Республики, имеющих особый статус, на 2021-2025 годы (</w:t>
      </w:r>
      <w:hyperlink w:history="1" r:id="rIdhpnhyiecks1e_9xcqaw9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КР от 28 апреля 2021 года № 4537-VI) будут реализованы меры по обеспечению безопасности государства, укреплению государственной границы, решению проблем приграничных территорий, стимулированию социально-экономического развития, улучшению жизненных условий населения, проживающего на приграничных территориях, созданию необходимых условий для постоянного проживания и снижение уровня внутренней миграции среди жителей приграничных территорий.</w:t>
      </w:r>
    </w:p>
    <w:p>
      <w:pPr>
        <w:spacing w:after="60"/>
        <w:ind w:firstLine="567"/>
        <w:jc w:val="both"/>
      </w:pPr>
      <w:r>
        <w:rPr>
          <w:rFonts w:ascii="Arial" w:cs="Arial" w:eastAsia="Arial" w:hAnsi="Arial"/>
          <w:sz w:val="24"/>
          <w:szCs w:val="24"/>
        </w:rPr>
        <w:t xml:space="preserve">В целях комплексного развития сел, малых городов и поселков городского типа, высокогорных и труднодоступных районов будут разработаны соответствующие социально-экономические программы с учетом имеющегося потенциала и специфических особенностей каждого региона. При формировании таких программ акцент будет делаться на их реализацию, обеспеченность финансами и эффективное использование доступных местных ресурсов, развитие кооперированных связей на региональном уровне, согласованность с отраслевыми программами развития.</w:t>
      </w:r>
    </w:p>
    <w:p>
      <w:pPr>
        <w:spacing w:after="60"/>
        <w:ind w:firstLine="567"/>
        <w:jc w:val="both"/>
      </w:pPr>
      <w:r>
        <w:rPr>
          <w:rFonts w:ascii="Arial" w:cs="Arial" w:eastAsia="Arial" w:hAnsi="Arial"/>
          <w:sz w:val="24"/>
          <w:szCs w:val="24"/>
        </w:rPr>
        <w:t xml:space="preserve">Особое внимание будет уделено повышению занятости за счет социальной мобилизации населения с использованием микрокредитов, стимулирования индивидуального предпринимательства и развития малого и среднего бизнеса.</w:t>
      </w:r>
    </w:p>
    <w:p>
      <w:pPr>
        <w:spacing w:after="60"/>
        <w:ind w:firstLine="567"/>
        <w:jc w:val="both"/>
      </w:pPr>
      <w:r>
        <w:rPr>
          <w:rFonts w:ascii="Arial" w:cs="Arial" w:eastAsia="Arial" w:hAnsi="Arial"/>
          <w:sz w:val="24"/>
          <w:szCs w:val="24"/>
        </w:rPr>
        <w:t xml:space="preserve">В целях обеспечения комплексного развития Баткенской области Кыргызской Республики принята Программа развития Баткенской области Кыргызской Республики на 2021-2035 годы и Дорожная карта по ее реализации (постановление Кабинета Министров Кыргызской Республики от 1 сентября 2021 года № 159 ДСП).</w:t>
      </w:r>
    </w:p>
    <w:p>
      <w:pPr>
        <w:spacing w:after="60"/>
        <w:ind w:firstLine="567"/>
        <w:jc w:val="both"/>
      </w:pPr>
      <w:r>
        <w:rPr>
          <w:rFonts w:ascii="Arial" w:cs="Arial" w:eastAsia="Arial" w:hAnsi="Arial"/>
          <w:sz w:val="24"/>
          <w:szCs w:val="24"/>
        </w:rPr>
        <w:t xml:space="preserve">В целях приведения в соответствие с Национальной программой развития Кыргызской Республики до 2026 года будет актуализирована Концепция региональной политики Кыргызской Республики, которая позволит добиться увеличения темпов экономического роста в целом по стране на уровне 104,9%.</w:t>
      </w:r>
    </w:p>
    <w:p>
      <w:pPr>
        <w:spacing w:after="60"/>
        <w:ind w:firstLine="567"/>
        <w:jc w:val="both"/>
      </w:pPr>
      <w:r>
        <w:rPr>
          <w:rFonts w:ascii="Arial" w:cs="Arial" w:eastAsia="Arial" w:hAnsi="Arial"/>
          <w:sz w:val="24"/>
          <w:szCs w:val="24"/>
        </w:rPr>
        <w:t xml:space="preserve">Рост экономики и принимаемые меры по повышению занятости населения приведут к снижению безработицы, повышению доходов. В сочетании с активными мерами по социальной мобилизации населения будет способствовать снижению уровня бедности. Расширение внешнеэкономических связей и снижение торговых барьеров обеспечат увеличение экспорта.</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на 2023 год по оценке будет обеспечиваться за счет функционирования экономики города Бишкек, Чуйской, Иссык-Кульской и Джалал-Абадской областей, с удельным весом 78,4%, суммарный положительный вклад которых в рост ВВП страны составит 3,99%. Значительные доли в общем объеме производства ВВП указанных областей связаны с тем, что на территории Джалал-Абадской области производится около 90,0% вырабатываемой в республике электроэнергии, в Иссык-Кульской области расположены предприятия по разработке золоторудного месторождения Кумтор, в Чуйской области расположены крупные предприятия как Аффинажный завод по разработке месторождения Талды-Булак Левобережный (ОсОО "Алтынкен"), НПЗ "Джунда", завод листового стекла ОсОО "Интергласс", ОАО "Кантский цементный завод" и в городе Бишкек (40,6%) расположены крупные предприятия, сосредоточен малый и средний бизнес, а также большинство крупных рынков.</w:t>
      </w:r>
    </w:p>
    <w:p>
      <w:pPr>
        <w:spacing w:after="60"/>
        <w:ind w:firstLine="567"/>
        <w:jc w:val="both"/>
      </w:pPr>
      <w:r>
        <w:rPr>
          <w:rFonts w:ascii="Arial" w:cs="Arial" w:eastAsia="Arial" w:hAnsi="Arial"/>
          <w:sz w:val="24"/>
          <w:szCs w:val="24"/>
        </w:rPr>
        <w:t xml:space="preserve">С введением в эксплуатацию месторождения Джеруй в Таласской области, наращиваются объемы валовой продукции, которые на 2023 год прогнозируют рост на 9,1% по сравнению с 2022 годом, в сравнении с 2021 годом увеличится в 1,4 раза.</w:t>
      </w:r>
    </w:p>
    <w:p>
      <w:pPr>
        <w:spacing w:after="60"/>
        <w:ind w:firstLine="567"/>
        <w:jc w:val="both"/>
      </w:pPr>
      <w:r>
        <w:rPr>
          <w:rFonts w:ascii="Arial" w:cs="Arial" w:eastAsia="Arial" w:hAnsi="Arial"/>
          <w:sz w:val="24"/>
          <w:szCs w:val="24"/>
        </w:rPr>
        <w:t xml:space="preserve">Оставшаяся часть доли будет распределена между другими областями Ошской, Баткенской, Нарынской, Таласской и городом Ош с удельным весом на уровне 21,6%.</w:t>
      </w:r>
    </w:p>
    <w:p>
      <w:pPr>
        <w:spacing w:after="60"/>
        <w:ind w:firstLine="567"/>
        <w:jc w:val="both"/>
      </w:pPr>
      <w:r>
        <w:rPr>
          <w:rFonts w:ascii="Arial" w:cs="Arial" w:eastAsia="Arial" w:hAnsi="Arial"/>
          <w:sz w:val="24"/>
          <w:szCs w:val="24"/>
        </w:rPr>
        <w:t xml:space="preserve">В региональном разрезе прогнозируется рост объемов производства на всех секторах экономики:</w:t>
      </w:r>
    </w:p>
    <w:p>
      <w:pPr>
        <w:spacing w:after="60"/>
        <w:ind w:firstLine="567"/>
        <w:jc w:val="both"/>
      </w:pPr>
      <w:r>
        <w:rPr>
          <w:rFonts w:ascii="Arial" w:cs="Arial" w:eastAsia="Arial" w:hAnsi="Arial"/>
          <w:sz w:val="24"/>
          <w:szCs w:val="24"/>
        </w:rPr>
        <w:t xml:space="preserve">- в сельском хозяйстве основную долю будут занимать Чуйская (22,8%), Ошская (18,6%), Иссык-Кульская (13,8%) и Джалал-Абадская (21,9%) области, суммарный вклад которых в развитие сельского хозяйства республики составит 1,65%;</w:t>
      </w:r>
    </w:p>
    <w:p>
      <w:pPr>
        <w:spacing w:after="60"/>
        <w:ind w:firstLine="567"/>
        <w:jc w:val="both"/>
      </w:pPr>
      <w:r>
        <w:rPr>
          <w:rFonts w:ascii="Arial" w:cs="Arial" w:eastAsia="Arial" w:hAnsi="Arial"/>
          <w:sz w:val="24"/>
          <w:szCs w:val="24"/>
        </w:rPr>
        <w:t xml:space="preserve">- в промышленности основную долю будут занимать Чуйская (45,4%), Джалал-Абадская (9,5%), Иссык-Кульская (21,0%) области и город Бишкек (12,6%), суммарный вклад которых в развитие промышленности составит 7,32%;</w:t>
      </w:r>
    </w:p>
    <w:p>
      <w:pPr>
        <w:spacing w:after="60"/>
        <w:ind w:firstLine="567"/>
        <w:jc w:val="both"/>
      </w:pPr>
      <w:r>
        <w:rPr>
          <w:rFonts w:ascii="Arial" w:cs="Arial" w:eastAsia="Arial" w:hAnsi="Arial"/>
          <w:sz w:val="24"/>
          <w:szCs w:val="24"/>
        </w:rPr>
        <w:t xml:space="preserve">- в строительстве за счет реализации инвестиционных проектов в транспортной, горнодобывающей и энергетической отраслях, а также сельского водоснабжения, основную долю будут занимать город Бишкек (42,2%), Иссык-Кульская (13,9%), Чуйская (12,6%) и Джалал-Абадская (13,4%) области, суммарный вклад которых в развитие строительной отрасли составит 4,55%;</w:t>
      </w:r>
    </w:p>
    <w:p>
      <w:pPr>
        <w:spacing w:after="60"/>
        <w:ind w:firstLine="567"/>
        <w:jc w:val="both"/>
      </w:pPr>
      <w:r>
        <w:rPr>
          <w:rFonts w:ascii="Arial" w:cs="Arial" w:eastAsia="Arial" w:hAnsi="Arial"/>
          <w:sz w:val="24"/>
          <w:szCs w:val="24"/>
        </w:rPr>
        <w:t xml:space="preserve">- в сфере услуг прогнозируется рост объемов во всех регионах, где основную долю будут занимать города Бишкек (49,8%) и Ош (7,5%), Чуйская (11,1%), Джалал-Абадская (10,3%), Иссык-Кульская (4,6%), Ошская (7,2%) области, суммарный вклад которых в развитие сферы услуг составит 4,23%.</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Вклады регионов в производство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6"/>
        <w:gridCol w:w="1271"/>
        <w:gridCol w:w="1271"/>
        <w:gridCol w:w="1255"/>
        <w:gridCol w:w="1255"/>
        <w:gridCol w:w="1255"/>
        <w:gridCol w:w="1255"/>
      </w:tblGrid>
      <w:tr>
        <w:tc>
          <w:tcPr>
            <w:tcW w:type="dxa" w:w="26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5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 ожидаемое</w:t>
            </w:r>
          </w:p>
        </w:tc>
        <w:tc>
          <w:tcPr>
            <w:tcW w:type="dxa" w:w="502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 прогноз</w:t>
            </w:r>
          </w:p>
        </w:tc>
      </w:tr>
      <w:tr>
        <w:tc>
          <w:tcPr>
            <w:vMerge w:val="continue"/>
            <w:tcBorders>
              <w:top w:val="single" w:color="CBBF9E" w:sz="4"/>
              <w:left w:val="single" w:color="CBBF9E" w:sz="4"/>
              <w:bottom w:val="single" w:color="CBBF9E" w:sz="4"/>
              <w:right w:val="single" w:color="CBBF9E" w:sz="4"/>
            </w:tcBorders>
          </w:tcP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w:t>
            </w:r>
            <w:r>
              <w:rPr>
                <w:rFonts w:ascii="Arial" w:cs="Arial" w:eastAsia="Arial" w:hAnsi="Arial"/>
                <w:b/>
                <w:bCs/>
                <w:sz w:val="24"/>
                <w:szCs w:val="24"/>
              </w:rPr>
              <w:t xml:space="preserve">.</w:t>
            </w:r>
            <w:r>
              <w:rPr>
                <w:rFonts w:ascii="Arial" w:cs="Arial" w:eastAsia="Arial" w:hAnsi="Arial"/>
                <w:b/>
                <w:bCs/>
                <w:sz w:val="24"/>
                <w:szCs w:val="24"/>
              </w:rPr>
              <w:t xml:space="preserve"> сомов</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в %</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(по областям и городам)</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824948,9</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926980,6</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28571,9</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31771,6</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96777,0</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107573,7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106216,3</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118258,7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20110,3</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22465,6</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60520,8</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67012,4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28836,3</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31987,1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109773,2</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124275,7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Бишкек</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332143,7</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376241,9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r>
      <w:tr>
        <w:tc>
          <w:tcPr>
            <w:tcW w:type="dxa" w:w="2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41999,5</w:t>
            </w:r>
          </w:p>
        </w:tc>
        <w:tc>
          <w:tcPr>
            <w:tcW w:type="dxa" w:w="1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47393,9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r>
    </w:tbl>
    <w:p>
      <w:pPr>
        <w:spacing w:after="60" w:before="200"/>
        <w:ind w:firstLine="567"/>
        <w:jc w:val="both"/>
      </w:pPr>
      <w:r>
        <w:rPr>
          <w:rFonts w:ascii="Arial" w:cs="Arial" w:eastAsia="Arial" w:hAnsi="Arial"/>
          <w:b/>
          <w:bCs/>
          <w:sz w:val="24"/>
          <w:szCs w:val="24"/>
        </w:rPr>
        <w:t xml:space="preserve">6.8. Социальная сфера</w:t>
      </w:r>
    </w:p>
    <w:p>
      <w:pPr>
        <w:spacing w:after="60"/>
        <w:ind w:firstLine="567"/>
        <w:jc w:val="both"/>
      </w:pPr>
      <w:r>
        <w:rPr>
          <w:rFonts w:ascii="Arial" w:cs="Arial" w:eastAsia="Arial" w:hAnsi="Arial"/>
          <w:sz w:val="24"/>
          <w:szCs w:val="24"/>
        </w:rPr>
        <w:t xml:space="preserve">Политика социального развития будет направлена на выполнение в полном объеме гарантированных социальных обязательств государства, повышение уровня жизни и улучшение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Основное внимание будет обращено вопросам укрепления и развития института семьи, материнства и детства, а также обеспечения минимального базового уровня социальной защиты, гарантированного государством.</w:t>
      </w:r>
    </w:p>
    <w:p>
      <w:pPr>
        <w:spacing w:after="60"/>
        <w:ind w:firstLine="567"/>
        <w:jc w:val="both"/>
      </w:pPr>
      <w:r>
        <w:rPr>
          <w:rFonts w:ascii="Arial" w:cs="Arial" w:eastAsia="Arial" w:hAnsi="Arial"/>
          <w:sz w:val="24"/>
          <w:szCs w:val="24"/>
        </w:rPr>
        <w:t xml:space="preserve">Основные приоритетные направления деятельности определены в </w:t>
      </w:r>
      <w:hyperlink w:history="1" r:id="rIdktxb3ormpakxmqtkyd1bi">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w:t>
      </w:r>
      <w:hyperlink w:history="1" r:id="rIddgrkjwrwdtsdk0jexh7r4">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12 октября 2021 года № 435), а также в отраслевых программных документах в сфере труда, содействия занятости, социальной защиты, охраны здоровья населения и развитию системы здравоохранения.</w:t>
      </w:r>
    </w:p>
    <w:p>
      <w:pPr>
        <w:spacing w:after="60"/>
        <w:ind w:firstLine="567"/>
        <w:jc w:val="both"/>
      </w:pPr>
      <w:r>
        <w:rPr>
          <w:rFonts w:ascii="Arial" w:cs="Arial" w:eastAsia="Arial" w:hAnsi="Arial"/>
          <w:sz w:val="24"/>
          <w:szCs w:val="24"/>
        </w:rPr>
        <w:t xml:space="preserve">Усилия будут направлены на создание условий для проживания в семейном окружении детей, находящихся в трудной жизненной ситуации (далее - ТЖС), предотвращению жестокого обращения и насилия в отношении детей, оказание своевременной и адресной социальной помощи семьям и детям, находящихся в ТЖС, стимулирование экономической активности трудоспособного населения и оказание содействию выхода из ТЖС и т.д. Будет проведена работа по выявлению и устранению существующих пробелов в доступе к социальным услугам детей мигрантов.</w:t>
      </w:r>
    </w:p>
    <w:p>
      <w:pPr>
        <w:spacing w:after="60"/>
        <w:ind w:firstLine="567"/>
        <w:jc w:val="both"/>
      </w:pPr>
      <w:r>
        <w:rPr>
          <w:rFonts w:ascii="Arial" w:cs="Arial" w:eastAsia="Arial" w:hAnsi="Arial"/>
          <w:sz w:val="24"/>
          <w:szCs w:val="24"/>
        </w:rPr>
        <w:t xml:space="preserve">Планируется разработать и внедрить инструмент для оказания целевой социальной помощи нуждающимся семьям на основе автоматизированных данных.</w:t>
      </w:r>
    </w:p>
    <w:p>
      <w:pPr>
        <w:spacing w:after="60"/>
        <w:ind w:firstLine="567"/>
        <w:jc w:val="both"/>
      </w:pPr>
      <w:r>
        <w:rPr>
          <w:rFonts w:ascii="Arial" w:cs="Arial" w:eastAsia="Arial" w:hAnsi="Arial"/>
          <w:sz w:val="24"/>
          <w:szCs w:val="24"/>
        </w:rPr>
        <w:t xml:space="preserve">Будут приняты меры по созданию благоприятных условий для приема этнических кыргызов, переселившихся в Кыргызскую Республику, и их интеграции в общество.</w:t>
      </w:r>
    </w:p>
    <w:p>
      <w:pPr>
        <w:spacing w:after="60"/>
        <w:ind w:firstLine="567"/>
        <w:jc w:val="both"/>
      </w:pPr>
      <w:r>
        <w:rPr>
          <w:rFonts w:ascii="Arial" w:cs="Arial" w:eastAsia="Arial" w:hAnsi="Arial"/>
          <w:sz w:val="24"/>
          <w:szCs w:val="24"/>
        </w:rPr>
        <w:t xml:space="preserve">Планируется поэтапно изменить подходы к определению и решению проблем инвалидности в соответствии с международными стандартами и нормами. Будут внедряться новые технологии изготовления для ЛОВЗ средств индивидуального передвижения, сервис дистанционного сурдоперевода и другие.</w:t>
      </w:r>
    </w:p>
    <w:p>
      <w:pPr>
        <w:spacing w:after="60"/>
        <w:ind w:firstLine="567"/>
        <w:jc w:val="both"/>
      </w:pPr>
      <w:r>
        <w:rPr>
          <w:rFonts w:ascii="Arial" w:cs="Arial" w:eastAsia="Arial" w:hAnsi="Arial"/>
          <w:sz w:val="24"/>
          <w:szCs w:val="24"/>
        </w:rPr>
        <w:t xml:space="preserve">Запланированы усиление мер, направленные на внедрение комплексных мероприятий по защите прав и улучшению качества жизни пожилых граждан, также по обеспечению доступа социально незащищенных категорий граждан к социальным услугам и реабилитации на основе современных цифровых технологий.</w:t>
      </w:r>
    </w:p>
    <w:p>
      <w:pPr>
        <w:spacing w:after="60"/>
        <w:ind w:firstLine="567"/>
        <w:jc w:val="both"/>
      </w:pPr>
      <w:r>
        <w:rPr>
          <w:rFonts w:ascii="Arial" w:cs="Arial" w:eastAsia="Arial" w:hAnsi="Arial"/>
          <w:sz w:val="24"/>
          <w:szCs w:val="24"/>
        </w:rPr>
        <w:t xml:space="preserve">В сфере труда и содействия занятости населения, в среднесрочной перспективе, будет продолжена работа по оказанию содействия занятости населения и создания условий для обеспечения их достойным трудом.</w:t>
      </w:r>
    </w:p>
    <w:p>
      <w:pPr>
        <w:spacing w:after="60"/>
        <w:ind w:firstLine="567"/>
        <w:jc w:val="both"/>
      </w:pPr>
      <w:r>
        <w:rPr>
          <w:rFonts w:ascii="Arial" w:cs="Arial" w:eastAsia="Arial" w:hAnsi="Arial"/>
          <w:sz w:val="24"/>
          <w:szCs w:val="24"/>
        </w:rPr>
        <w:t xml:space="preserve">Основные приоритетные направления деятельности в сфере миграции определены в Концепции миграционной политики Кыргызской Республики на 2021-2030 годы (постановление Правительства Кыргызской Республики от 4 мая 2021 года № 191), которые охватывают меры по стабилизации миграционных процессов, направленные на смягчение и минимизацию неблагоприятных факторов, вызывающих и сопровождающих миграцию, с учетом текущих и предстоящих социальных, демографических и экономических вызовов, предупреждению стихийной и неупорядоченной миграции на основе программных действий. В рамках реализации Концепции принят План мероприятий до 2030 года, где отражены конкретные меры и действия по ее реализации (распоряжение Кабинета Министров Кыргызской Республики от 13 апреля 2022 года № 191-р).</w:t>
      </w:r>
    </w:p>
    <w:p>
      <w:pPr>
        <w:spacing w:after="60"/>
        <w:ind w:firstLine="567"/>
        <w:jc w:val="both"/>
      </w:pPr>
      <w:r>
        <w:rPr>
          <w:rFonts w:ascii="Arial" w:cs="Arial" w:eastAsia="Arial" w:hAnsi="Arial"/>
          <w:sz w:val="24"/>
          <w:szCs w:val="24"/>
        </w:rPr>
        <w:t xml:space="preserve">Будет продолжена работа по обеспечению финансовой устойчивости пенсионной системы и повышению уровня жизни пенсионеров.</w:t>
      </w:r>
    </w:p>
    <w:p>
      <w:pPr>
        <w:spacing w:after="60"/>
        <w:ind w:firstLine="567"/>
        <w:jc w:val="both"/>
      </w:pPr>
      <w:r>
        <w:rPr>
          <w:rFonts w:ascii="Arial" w:cs="Arial" w:eastAsia="Arial" w:hAnsi="Arial"/>
          <w:sz w:val="24"/>
          <w:szCs w:val="24"/>
        </w:rPr>
        <w:t xml:space="preserve">Несмотря на достигнутые результаты, перед действующей пенсионной системой Кыргызской Республики стоят следующие приоритетные направления деятельности Социального фонда:</w:t>
      </w:r>
    </w:p>
    <w:p>
      <w:pPr>
        <w:spacing w:after="60"/>
        <w:ind w:firstLine="567"/>
        <w:jc w:val="both"/>
      </w:pPr>
      <w:r>
        <w:rPr>
          <w:rFonts w:ascii="Arial" w:cs="Arial" w:eastAsia="Arial" w:hAnsi="Arial"/>
          <w:sz w:val="24"/>
          <w:szCs w:val="24"/>
        </w:rPr>
        <w:t xml:space="preserve">- сокращение числа реально уплачивающих страховые взносы к численности пенсионеров (1:0,8);</w:t>
      </w:r>
    </w:p>
    <w:p>
      <w:pPr>
        <w:spacing w:after="60"/>
        <w:ind w:firstLine="567"/>
        <w:jc w:val="both"/>
      </w:pPr>
      <w:r>
        <w:rPr>
          <w:rFonts w:ascii="Arial" w:cs="Arial" w:eastAsia="Arial" w:hAnsi="Arial"/>
          <w:sz w:val="24"/>
          <w:szCs w:val="24"/>
        </w:rPr>
        <w:t xml:space="preserve">- несбалансированность тарифов страховых взносов для сельских товаропроизводителей и занятых предпринимательской деятельностью;</w:t>
      </w:r>
    </w:p>
    <w:p>
      <w:pPr>
        <w:spacing w:after="60"/>
        <w:ind w:firstLine="567"/>
        <w:jc w:val="both"/>
      </w:pPr>
      <w:r>
        <w:rPr>
          <w:rFonts w:ascii="Arial" w:cs="Arial" w:eastAsia="Arial" w:hAnsi="Arial"/>
          <w:sz w:val="24"/>
          <w:szCs w:val="24"/>
        </w:rPr>
        <w:t xml:space="preserve">- увеличение численности пенсионеров по льготным основаниям и досрочным пенсиям;</w:t>
      </w:r>
    </w:p>
    <w:p>
      <w:pPr>
        <w:spacing w:after="60"/>
        <w:ind w:firstLine="567"/>
        <w:jc w:val="both"/>
      </w:pPr>
      <w:r>
        <w:rPr>
          <w:rFonts w:ascii="Arial" w:cs="Arial" w:eastAsia="Arial" w:hAnsi="Arial"/>
          <w:sz w:val="24"/>
          <w:szCs w:val="24"/>
        </w:rPr>
        <w:t xml:space="preserve">- ограниченный перечень инвестиционного портфеля, несовершенство механизмов выплат пенсионных накоплений;</w:t>
      </w:r>
    </w:p>
    <w:p>
      <w:pPr>
        <w:spacing w:after="60"/>
        <w:ind w:firstLine="567"/>
        <w:jc w:val="both"/>
      </w:pPr>
      <w:r>
        <w:rPr>
          <w:rFonts w:ascii="Arial" w:cs="Arial" w:eastAsia="Arial" w:hAnsi="Arial"/>
          <w:sz w:val="24"/>
          <w:szCs w:val="24"/>
        </w:rPr>
        <w:t xml:space="preserve">- снижение среднего коэффициента замещения (32% в 2021 г., которая не соответствует нормам Конвенции МОТ № 102).</w:t>
      </w:r>
    </w:p>
    <w:p>
      <w:pPr>
        <w:spacing w:after="60"/>
        <w:ind w:firstLine="567"/>
        <w:jc w:val="both"/>
      </w:pPr>
      <w:r>
        <w:rPr>
          <w:rFonts w:ascii="Arial" w:cs="Arial" w:eastAsia="Arial" w:hAnsi="Arial"/>
          <w:sz w:val="24"/>
          <w:szCs w:val="24"/>
        </w:rPr>
        <w:t xml:space="preserve">В сложившейся ситуации крайне сложно обеспечить достойный уровень пенсионных выплат и выполнение Конституционной нормы в части обеспечения должного уровня пенсий не ниже размера прожиточного минимума, не достигнута разница между получаемым размером пенсий к сумме перечисленных страховых взносов, что в будущем обострит проблему низких пенсий в масштабах республики.</w:t>
      </w:r>
    </w:p>
    <w:p>
      <w:pPr>
        <w:spacing w:after="60"/>
        <w:ind w:firstLine="567"/>
        <w:jc w:val="both"/>
      </w:pPr>
      <w:r>
        <w:rPr>
          <w:rFonts w:ascii="Arial" w:cs="Arial" w:eastAsia="Arial" w:hAnsi="Arial"/>
          <w:sz w:val="24"/>
          <w:szCs w:val="24"/>
        </w:rPr>
        <w:t xml:space="preserve">Продолжится работа по охвату пенсионным обеспечением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В рамках усиления финансовой устойчивости пенсионной системы будут проведены работы по реформированию и модернизации пенсионной и тарифной политики по государственному социальному страхованию путем внесения изменений в соответствующие законодательные акты в целях создания справедливых условий для участников государственного пенсионного социального страхования, усиления принципов назначения пенсий и стимулирования участия в пенсионной системе.</w:t>
      </w:r>
    </w:p>
    <w:p>
      <w:pPr>
        <w:spacing w:after="60"/>
        <w:ind w:firstLine="567"/>
        <w:jc w:val="both"/>
      </w:pPr>
      <w:r>
        <w:rPr>
          <w:rFonts w:ascii="Arial" w:cs="Arial" w:eastAsia="Arial" w:hAnsi="Arial"/>
          <w:sz w:val="24"/>
          <w:szCs w:val="24"/>
        </w:rPr>
        <w:t xml:space="preserve">Предлагаются следующие меры:</w:t>
      </w:r>
    </w:p>
    <w:p>
      <w:pPr>
        <w:spacing w:after="60"/>
        <w:ind w:firstLine="567"/>
        <w:jc w:val="both"/>
      </w:pPr>
      <w:r>
        <w:rPr>
          <w:rFonts w:ascii="Arial" w:cs="Arial" w:eastAsia="Arial" w:hAnsi="Arial"/>
          <w:sz w:val="24"/>
          <w:szCs w:val="24"/>
        </w:rPr>
        <w:t xml:space="preserve">- в области пенсионной политики государственного социального страхования: поэтапное введение минимального страхового стажа для получения права на пенсию, пересмотр досрочных пенсий, приведение в соответствие возраста выхода на пенсию льготным категориям к общеустановленному возрасту выхода на пенсию;</w:t>
      </w:r>
    </w:p>
    <w:p>
      <w:pPr>
        <w:spacing w:after="60"/>
        <w:ind w:firstLine="567"/>
        <w:jc w:val="both"/>
      </w:pPr>
      <w:r>
        <w:rPr>
          <w:rFonts w:ascii="Arial" w:cs="Arial" w:eastAsia="Arial" w:hAnsi="Arial"/>
          <w:sz w:val="24"/>
          <w:szCs w:val="24"/>
        </w:rPr>
        <w:t xml:space="preserve">- в области тарифной политики государственного социального страхования, пересмотр тарифной политики для крестьянских (фермерских) хозяйств (КФХ) без образования юридического лица и МСБ.</w:t>
      </w:r>
    </w:p>
    <w:p>
      <w:pPr>
        <w:spacing w:after="60"/>
        <w:ind w:firstLine="567"/>
        <w:jc w:val="both"/>
      </w:pPr>
      <w:r>
        <w:rPr>
          <w:rFonts w:ascii="Arial" w:cs="Arial" w:eastAsia="Arial" w:hAnsi="Arial"/>
          <w:sz w:val="24"/>
          <w:szCs w:val="24"/>
        </w:rPr>
        <w:t xml:space="preserve">Основная деятельность в сфере здравоохранения будет реализовываться в рамках </w:t>
      </w:r>
      <w:hyperlink w:history="1" r:id="rId0fk3g-xr2aezajzbosnja">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по охране здоровья населения и развитию системы здравоохранения на 2019-2030 годы (</w:t>
      </w:r>
      <w:hyperlink w:history="1" r:id="rIdifgh1dawiikpryzojd4o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декабря 2018 года № 600), где будут реализованы следующие основные задачи:</w:t>
      </w:r>
    </w:p>
    <w:p>
      <w:pPr>
        <w:spacing w:after="60"/>
        <w:ind w:firstLine="567"/>
        <w:jc w:val="both"/>
      </w:pPr>
      <w:r>
        <w:rPr>
          <w:rFonts w:ascii="Arial" w:cs="Arial" w:eastAsia="Arial" w:hAnsi="Arial"/>
          <w:sz w:val="24"/>
          <w:szCs w:val="24"/>
        </w:rPr>
        <w:t xml:space="preserve">- в части предупреждения завоза коронавирусной инфекции: реализация противоэпидемических мер, организация и проведение вакцинации населения, реализация национального плана с ведением до 70% вакцинации населения от COVID-19, входящих в группу риска;</w:t>
      </w:r>
    </w:p>
    <w:p>
      <w:pPr>
        <w:spacing w:after="60"/>
        <w:ind w:firstLine="567"/>
        <w:jc w:val="both"/>
      </w:pPr>
      <w:r>
        <w:rPr>
          <w:rFonts w:ascii="Arial" w:cs="Arial" w:eastAsia="Arial" w:hAnsi="Arial"/>
          <w:sz w:val="24"/>
          <w:szCs w:val="24"/>
        </w:rPr>
        <w:t xml:space="preserve">- укрепление первичных медико-санитарных услуг, путем двух составляющих - модернизация и оснащение центров семейной медицины на местах и повышение квалификации медицинских работников с использованием дистанционных форм обучения;</w:t>
      </w:r>
    </w:p>
    <w:p>
      <w:pPr>
        <w:spacing w:after="60"/>
        <w:ind w:firstLine="567"/>
        <w:jc w:val="both"/>
      </w:pPr>
      <w:r>
        <w:rPr>
          <w:rFonts w:ascii="Arial" w:cs="Arial" w:eastAsia="Arial" w:hAnsi="Arial"/>
          <w:sz w:val="24"/>
          <w:szCs w:val="24"/>
        </w:rPr>
        <w:t xml:space="preserve">- внедрение электронной медицинской карты пациента на уровне первичной медико-санитарной помощи и интегрированной на всех уровнях организации по оказанию медицинской помощи. Будет внедрен проект "Цифровой паспорт здоровья";</w:t>
      </w:r>
    </w:p>
    <w:p>
      <w:pPr>
        <w:spacing w:after="60"/>
        <w:ind w:firstLine="567"/>
        <w:jc w:val="both"/>
      </w:pPr>
      <w:r>
        <w:rPr>
          <w:rFonts w:ascii="Arial" w:cs="Arial" w:eastAsia="Arial" w:hAnsi="Arial"/>
          <w:sz w:val="24"/>
          <w:szCs w:val="24"/>
        </w:rPr>
        <w:t xml:space="preserve">- обновление и модернизация структуры скорой медицинской помощи. Вопросы материально-технического обновления, повышения квалификации и привлечения квалифицированных кадров. Необходимо пересмотреть логистическую схему локализации станций скорой помощи с использованием цифровых технологий;</w:t>
      </w:r>
    </w:p>
    <w:p>
      <w:pPr>
        <w:spacing w:after="60"/>
        <w:ind w:firstLine="567"/>
        <w:jc w:val="both"/>
      </w:pPr>
      <w:r>
        <w:rPr>
          <w:rFonts w:ascii="Arial" w:cs="Arial" w:eastAsia="Arial" w:hAnsi="Arial"/>
          <w:sz w:val="24"/>
          <w:szCs w:val="24"/>
        </w:rPr>
        <w:t xml:space="preserve">- усиление мероприятий по охране материнства и детства, по предупреждению преждевременной смертности и инвалидности, а также инфекционных заболеваний;</w:t>
      </w:r>
    </w:p>
    <w:p>
      <w:pPr>
        <w:spacing w:after="60"/>
        <w:ind w:firstLine="567"/>
        <w:jc w:val="both"/>
      </w:pPr>
      <w:r>
        <w:rPr>
          <w:rFonts w:ascii="Arial" w:cs="Arial" w:eastAsia="Arial" w:hAnsi="Arial"/>
          <w:sz w:val="24"/>
          <w:szCs w:val="24"/>
        </w:rPr>
        <w:t xml:space="preserve">- модернизация службы общественного здравоохранения с расширением ее функций, усиление работ по профилактике и санитарно-эпидемиологическому надзору с вовлечением государственных органов и органов местной власти;</w:t>
      </w:r>
    </w:p>
    <w:p>
      <w:pPr>
        <w:spacing w:after="60"/>
        <w:ind w:firstLine="567"/>
        <w:jc w:val="both"/>
      </w:pPr>
      <w:r>
        <w:rPr>
          <w:rFonts w:ascii="Arial" w:cs="Arial" w:eastAsia="Arial" w:hAnsi="Arial"/>
          <w:sz w:val="24"/>
          <w:szCs w:val="24"/>
        </w:rPr>
        <w:t xml:space="preserve">- планируется создание единой цифровой национальной системы оценки и управления рисками для здоровья, которая позволит осуществлять регулярный анализ и оценку текущей эпидемиологической ситуации в стране. На ее основе появятся технологии моделирования и прогнозирования различных сценариев распространения заболеваний, эпидемий и выработки рекомендаций по их предупреждению, снижению негативных последствий. Будет разрабатываться цифровая Национальная карта здоровья;</w:t>
      </w:r>
    </w:p>
    <w:p>
      <w:pPr>
        <w:spacing w:after="60"/>
        <w:ind w:firstLine="567"/>
        <w:jc w:val="both"/>
      </w:pPr>
      <w:r>
        <w:rPr>
          <w:rFonts w:ascii="Arial" w:cs="Arial" w:eastAsia="Arial" w:hAnsi="Arial"/>
          <w:sz w:val="24"/>
          <w:szCs w:val="24"/>
        </w:rPr>
        <w:t xml:space="preserve">- необходимо начинать развивать школьную медицину, интегрированную с первичным уровнем оказания медицинской помощи. Полноценное школьное питание должно быть организовано в безопасных для детей условиях;</w:t>
      </w:r>
    </w:p>
    <w:p>
      <w:pPr>
        <w:spacing w:after="60"/>
        <w:ind w:firstLine="567"/>
        <w:jc w:val="both"/>
      </w:pPr>
      <w:r>
        <w:rPr>
          <w:rFonts w:ascii="Arial" w:cs="Arial" w:eastAsia="Arial" w:hAnsi="Arial"/>
          <w:sz w:val="24"/>
          <w:szCs w:val="24"/>
        </w:rPr>
        <w:t xml:space="preserve">- будут начаты изменения принципов и механизмов финансирования системы здравоохранения, развитие обязательного медицинского страхования, предлагаются следующие пути решения:</w:t>
      </w:r>
    </w:p>
    <w:p>
      <w:pPr>
        <w:spacing w:after="60"/>
        <w:ind w:firstLine="567"/>
        <w:jc w:val="both"/>
      </w:pPr>
      <w:r>
        <w:rPr>
          <w:rFonts w:ascii="Arial" w:cs="Arial" w:eastAsia="Arial" w:hAnsi="Arial"/>
          <w:sz w:val="24"/>
          <w:szCs w:val="24"/>
        </w:rPr>
        <w:t xml:space="preserve">- широкое привлечение бизнеса к оказанию услуг здравоохранения и переход к реальному механизму финансирования пациентов - "деньги следуют за пациентом";</w:t>
      </w:r>
    </w:p>
    <w:p>
      <w:pPr>
        <w:spacing w:after="60"/>
        <w:ind w:firstLine="567"/>
        <w:jc w:val="both"/>
      </w:pPr>
      <w:r>
        <w:rPr>
          <w:rFonts w:ascii="Arial" w:cs="Arial" w:eastAsia="Arial" w:hAnsi="Arial"/>
          <w:sz w:val="24"/>
          <w:szCs w:val="24"/>
        </w:rPr>
        <w:t xml:space="preserve">- каждый гражданин может использовать свои средства по выбору в любом лечебном заведении независимо от форм собственности.</w:t>
      </w:r>
    </w:p>
    <w:p>
      <w:pPr>
        <w:spacing w:after="60"/>
        <w:ind w:firstLine="567"/>
        <w:jc w:val="both"/>
      </w:pPr>
      <w:r>
        <w:rPr>
          <w:rFonts w:ascii="Arial" w:cs="Arial" w:eastAsia="Arial" w:hAnsi="Arial"/>
          <w:sz w:val="24"/>
          <w:szCs w:val="24"/>
        </w:rPr>
        <w:t xml:space="preserve">Система образования будет развиваться в соответствии с Программой развития образования в Кыргызской Республике на 2021-2040 годы (</w:t>
      </w:r>
      <w:hyperlink w:history="1" r:id="rId54k9hppqsq38pkzke-9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мая 2021 года № 200). В среднесрочном периоде основное внимание в сфере образования будет направлено на выполнение следующих задач:</w:t>
      </w:r>
    </w:p>
    <w:p>
      <w:pPr>
        <w:spacing w:after="60"/>
        <w:ind w:firstLine="567"/>
        <w:jc w:val="both"/>
      </w:pPr>
      <w:r>
        <w:rPr>
          <w:rFonts w:ascii="Arial" w:cs="Arial" w:eastAsia="Arial" w:hAnsi="Arial"/>
          <w:sz w:val="24"/>
          <w:szCs w:val="24"/>
        </w:rPr>
        <w:t xml:space="preserve">- охват программами развития и обучения большинства детей дошкольного возраста;</w:t>
      </w:r>
    </w:p>
    <w:p>
      <w:pPr>
        <w:spacing w:after="60"/>
        <w:ind w:firstLine="567"/>
        <w:jc w:val="both"/>
      </w:pPr>
      <w:r>
        <w:rPr>
          <w:rFonts w:ascii="Arial" w:cs="Arial" w:eastAsia="Arial" w:hAnsi="Arial"/>
          <w:sz w:val="24"/>
          <w:szCs w:val="24"/>
        </w:rPr>
        <w:t xml:space="preserve">- доступность к качественному основному общему и среднему образованию для каждого независимо от возраста, пола, этнической, религиозной принадлежности, места жительства, умственного и физического развития, социально-экономического статуса и др.;</w:t>
      </w:r>
    </w:p>
    <w:p>
      <w:pPr>
        <w:spacing w:after="60"/>
        <w:ind w:firstLine="567"/>
        <w:jc w:val="both"/>
      </w:pPr>
      <w:r>
        <w:rPr>
          <w:rFonts w:ascii="Arial" w:cs="Arial" w:eastAsia="Arial" w:hAnsi="Arial"/>
          <w:sz w:val="24"/>
          <w:szCs w:val="24"/>
        </w:rPr>
        <w:t xml:space="preserve">- развитие трудовых навыков в соответствии с современными требованиями рынка труда и запросами населения в удовлетворении собственных потребностей и интересов;</w:t>
      </w:r>
    </w:p>
    <w:p>
      <w:pPr>
        <w:spacing w:after="60"/>
        <w:ind w:firstLine="567"/>
        <w:jc w:val="both"/>
      </w:pPr>
      <w:r>
        <w:rPr>
          <w:rFonts w:ascii="Arial" w:cs="Arial" w:eastAsia="Arial" w:hAnsi="Arial"/>
          <w:sz w:val="24"/>
          <w:szCs w:val="24"/>
        </w:rPr>
        <w:t xml:space="preserve">- развитие социального партнерства на всех уровнях системы образования и активное участие работодателей в образовательном процессе;</w:t>
      </w:r>
    </w:p>
    <w:p>
      <w:pPr>
        <w:spacing w:after="60"/>
        <w:ind w:firstLine="567"/>
        <w:jc w:val="both"/>
      </w:pPr>
      <w:r>
        <w:rPr>
          <w:rFonts w:ascii="Arial" w:cs="Arial" w:eastAsia="Arial" w:hAnsi="Arial"/>
          <w:sz w:val="24"/>
          <w:szCs w:val="24"/>
        </w:rPr>
        <w:t xml:space="preserve">- создание условий для непрерывного образования в течение всей жизни;</w:t>
      </w:r>
    </w:p>
    <w:p>
      <w:pPr>
        <w:spacing w:after="60"/>
        <w:ind w:firstLine="567"/>
        <w:jc w:val="both"/>
      </w:pPr>
      <w:r>
        <w:rPr>
          <w:rFonts w:ascii="Arial" w:cs="Arial" w:eastAsia="Arial" w:hAnsi="Arial"/>
          <w:sz w:val="24"/>
          <w:szCs w:val="24"/>
        </w:rPr>
        <w:t xml:space="preserve">- развитие базы данных для информационного обеспечения образования и науки;</w:t>
      </w:r>
    </w:p>
    <w:p>
      <w:pPr>
        <w:spacing w:after="60"/>
        <w:ind w:firstLine="567"/>
        <w:jc w:val="both"/>
      </w:pPr>
      <w:r>
        <w:rPr>
          <w:rFonts w:ascii="Arial" w:cs="Arial" w:eastAsia="Arial" w:hAnsi="Arial"/>
          <w:sz w:val="24"/>
          <w:szCs w:val="24"/>
        </w:rPr>
        <w:t xml:space="preserve">- совершенствование законодательной нормативно-правовой базы науки;</w:t>
      </w:r>
    </w:p>
    <w:p>
      <w:pPr>
        <w:spacing w:after="60"/>
        <w:ind w:firstLine="567"/>
        <w:jc w:val="both"/>
      </w:pPr>
      <w:r>
        <w:rPr>
          <w:rFonts w:ascii="Arial" w:cs="Arial" w:eastAsia="Arial" w:hAnsi="Arial"/>
          <w:sz w:val="24"/>
          <w:szCs w:val="24"/>
        </w:rPr>
        <w:t xml:space="preserve">- развитие системы стратегического планирования и управления в секторе образования, основанной на технологиях сбора и анализа информации;</w:t>
      </w:r>
    </w:p>
    <w:p>
      <w:pPr>
        <w:spacing w:after="60"/>
        <w:ind w:firstLine="567"/>
        <w:jc w:val="both"/>
      </w:pPr>
      <w:r>
        <w:rPr>
          <w:rFonts w:ascii="Arial" w:cs="Arial" w:eastAsia="Arial" w:hAnsi="Arial"/>
          <w:sz w:val="24"/>
          <w:szCs w:val="24"/>
        </w:rPr>
        <w:t xml:space="preserve">- внедрение системы мониторинга и качества образования.</w:t>
      </w:r>
    </w:p>
    <w:p>
      <w:pPr>
        <w:spacing w:after="60"/>
        <w:ind w:firstLine="567"/>
        <w:jc w:val="both"/>
      </w:pPr>
      <w:r>
        <w:rPr>
          <w:rFonts w:ascii="Arial" w:cs="Arial" w:eastAsia="Arial" w:hAnsi="Arial"/>
          <w:sz w:val="24"/>
          <w:szCs w:val="24"/>
        </w:rPr>
        <w:t xml:space="preserve">Государственную молодежную политику определяет Концепция молодежной политики на 2020-2030 годы, целью которой является создание эффективной системы развития молодежи, создание условий для реализации государственной молодежной политики, формирование активной гражданской позиции и ценностных ориентиров молодежи, обеспечивающих стабильное инновационное развитие страны, содействие социальному развитию и саморазвитию молодежи.</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2023 году будут складываться следующим образом:</w:t>
      </w:r>
    </w:p>
    <w:p>
      <w:pPr>
        <w:spacing w:after="60"/>
        <w:ind w:firstLine="567"/>
        <w:jc w:val="both"/>
      </w:pPr>
      <w:r>
        <w:rPr>
          <w:rFonts w:ascii="Arial" w:cs="Arial" w:eastAsia="Arial" w:hAnsi="Arial"/>
          <w:sz w:val="24"/>
          <w:szCs w:val="24"/>
        </w:rPr>
        <w:t xml:space="preserve">Номинальный прирост денежных доходов населения прогнозируется на уровне 13,3%. В структуре денежных доходов прирост средней заработной платы прогнозируется на 10,3% и составит в 2023 году 24966,1 сомов.</w:t>
      </w:r>
    </w:p>
    <w:p>
      <w:pPr>
        <w:spacing w:after="60"/>
        <w:ind w:firstLine="567"/>
        <w:jc w:val="both"/>
      </w:pPr>
      <w:r>
        <w:rPr>
          <w:rFonts w:ascii="Arial" w:cs="Arial" w:eastAsia="Arial" w:hAnsi="Arial"/>
          <w:sz w:val="24"/>
          <w:szCs w:val="24"/>
        </w:rPr>
        <w:t xml:space="preserve">С учетом роста денежных доходов населения прирост объема ВВП на душу населения прогнозируется на уровне 10,4%.</w:t>
      </w:r>
    </w:p>
    <w:p>
      <w:pPr>
        <w:spacing w:after="60"/>
        <w:ind w:firstLine="567"/>
        <w:jc w:val="both"/>
      </w:pPr>
      <w:r>
        <w:rPr>
          <w:rFonts w:ascii="Arial" w:cs="Arial" w:eastAsia="Arial" w:hAnsi="Arial"/>
          <w:sz w:val="24"/>
          <w:szCs w:val="24"/>
        </w:rPr>
        <w:t xml:space="preserve">Размер прожиточного минимума (ПМ) увеличится с 6268,3 сомов в 2021 году до 7838,5 сомов в 2023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2,8 условных единиц к 2023 году.</w:t>
      </w:r>
    </w:p>
    <w:p>
      <w:pPr>
        <w:spacing w:after="60"/>
        <w:ind w:firstLine="567"/>
        <w:jc w:val="both"/>
      </w:pPr>
      <w:r>
        <w:rPr>
          <w:rFonts w:ascii="Arial" w:cs="Arial" w:eastAsia="Arial" w:hAnsi="Arial"/>
          <w:sz w:val="24"/>
          <w:szCs w:val="24"/>
        </w:rPr>
        <w:t xml:space="preserve">Номинальный размер пенсии увеличится относительно 2022 года на 9,5% и составит в 2023 году 7024,9 сомов.</w:t>
      </w:r>
    </w:p>
    <w:p>
      <w:pPr>
        <w:spacing w:after="60"/>
        <w:ind w:firstLine="567"/>
        <w:jc w:val="both"/>
      </w:pPr>
      <w:r>
        <w:rPr>
          <w:rFonts w:ascii="Arial" w:cs="Arial" w:eastAsia="Arial" w:hAnsi="Arial"/>
          <w:sz w:val="24"/>
          <w:szCs w:val="24"/>
        </w:rPr>
        <w:t xml:space="preserve">Прогнозируемый уровень общей безработицы будет постепенно снижаться и к 2023 году составит 5,2%. Уровень бедности к 2023 году прогнозируется в размере 32,3% относительно фактически сложившегося уровня 33,3% в 2021 году.</w:t>
      </w:r>
    </w:p>
    <w:p>
      <w:pPr>
        <w:spacing w:after="200" w:before="200"/>
        <w:jc w:val="center"/>
      </w:pPr>
      <w:r>
        <w:rPr>
          <w:rFonts w:ascii="Arial" w:cs="Arial" w:eastAsia="Arial" w:hAnsi="Arial"/>
          <w:b/>
          <w:bCs/>
          <w:sz w:val="24"/>
          <w:szCs w:val="24"/>
        </w:rPr>
        <w:t xml:space="preserve">7. Макроэкономический прогноз на 2024-2027 годы</w:t>
      </w:r>
    </w:p>
    <w:p>
      <w:pPr>
        <w:spacing w:after="60"/>
        <w:ind w:firstLine="567"/>
        <w:jc w:val="both"/>
      </w:pPr>
      <w:r>
        <w:rPr>
          <w:rFonts w:ascii="Arial" w:cs="Arial" w:eastAsia="Arial" w:hAnsi="Arial"/>
          <w:sz w:val="24"/>
          <w:szCs w:val="24"/>
        </w:rPr>
        <w:t xml:space="preserve">В 2024-2027 годах главными целями экономической политики будут закрепление наметившихся позитивных тенденций в социально-экономическом развитии и обеспечение устойчивого экономического роста.</w:t>
      </w:r>
    </w:p>
    <w:p>
      <w:pPr>
        <w:spacing w:after="60"/>
        <w:ind w:firstLine="567"/>
        <w:jc w:val="both"/>
      </w:pPr>
      <w:r>
        <w:rPr>
          <w:rFonts w:ascii="Arial" w:cs="Arial" w:eastAsia="Arial" w:hAnsi="Arial"/>
          <w:sz w:val="24"/>
          <w:szCs w:val="24"/>
        </w:rPr>
        <w:t xml:space="preserve">Оценка прогнозных значений макроэкономических показателей на 2024-2027 годы основана на полной, успешной и своевременной реализации мер и инвестиционных проектов, предусмотренных в программных документах, и их эффективном влиянии на экономику страны, экономические преобразования позволят обеспечить ежегодный темп прироста ВВП в среднем не менее 3,8%, достижение которых требует активных действий от органов исполнительной власти полной реализации крупных национальных проектов, эффективному управлению государственными активами страны, реформированию системы государственного регулирования для стимулирования всех отраслей экономики, созданию благоприятного инвестиционного климата, гибкой политики в сфере предпринимательства, предсказуемость и стабильность законодательства.</w:t>
      </w:r>
    </w:p>
    <w:p>
      <w:pPr>
        <w:spacing w:after="60"/>
        <w:ind w:firstLine="567"/>
        <w:jc w:val="both"/>
      </w:pPr>
      <w:r>
        <w:rPr>
          <w:rFonts w:ascii="Arial" w:cs="Arial" w:eastAsia="Arial" w:hAnsi="Arial"/>
          <w:sz w:val="24"/>
          <w:szCs w:val="24"/>
        </w:rPr>
        <w:t xml:space="preserve">В целом на период 2024-2027 годов уровень инфляции прогнозируется, возврат в пределы целевого ориентира и окажется на уровне однозначных показателей, при условии отсутствия экономических шоков, в основу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будет достижение и поддержание стабильности цен приложение 15.</w:t>
      </w:r>
    </w:p>
    <w:p>
      <w:pPr>
        <w:spacing w:after="60"/>
        <w:ind w:firstLine="567"/>
        <w:jc w:val="both"/>
      </w:pPr>
      <w:r>
        <w:rPr>
          <w:rFonts w:ascii="Arial" w:cs="Arial" w:eastAsia="Arial" w:hAnsi="Arial"/>
          <w:sz w:val="24"/>
          <w:szCs w:val="24"/>
        </w:rPr>
        <w:t xml:space="preserve">В отраслевом разрезе в 2024-2027 годах прогнозируемые среднегодовые темпы прироста составят: в сельском хозяйстве 2,5%, в промышленности 0,25%, в строительстве 7,0%, в сфере предоставления услуг 4,9%.</w:t>
      </w:r>
    </w:p>
    <w:p>
      <w:pPr>
        <w:spacing w:after="60"/>
        <w:ind w:firstLine="567"/>
        <w:jc w:val="both"/>
      </w:pPr>
      <w:r>
        <w:rPr>
          <w:rFonts w:ascii="Arial" w:cs="Arial" w:eastAsia="Arial" w:hAnsi="Arial"/>
          <w:sz w:val="24"/>
          <w:szCs w:val="24"/>
        </w:rPr>
        <w:t xml:space="preserve">Во всех отраслях экономики, за исключением промышленности, прогнозируются положительные темпы роста.</w:t>
      </w:r>
    </w:p>
    <w:p>
      <w:pPr>
        <w:spacing w:after="60"/>
        <w:ind w:firstLine="567"/>
        <w:jc w:val="both"/>
      </w:pPr>
      <w:r>
        <w:rPr>
          <w:rFonts w:ascii="Arial" w:cs="Arial" w:eastAsia="Arial" w:hAnsi="Arial"/>
          <w:sz w:val="24"/>
          <w:szCs w:val="24"/>
        </w:rPr>
        <w:t xml:space="preserve">На 2024-2027 годы прогноз увеличения реальных темпов прироста сельского хозяйства в среднем на 2,5%, за счет принимаемых государством и частным сектором мер по увеличению урожайности растениеводства и продуктивности животноводства. Для достижения реальных темпов роста сельскохозяйственной отрасли будут реализованы намеченные мероприятия:</w:t>
      </w:r>
    </w:p>
    <w:p>
      <w:pPr>
        <w:spacing w:after="60"/>
        <w:ind w:firstLine="567"/>
        <w:jc w:val="both"/>
      </w:pPr>
      <w:r>
        <w:rPr>
          <w:rFonts w:ascii="Arial" w:cs="Arial" w:eastAsia="Arial" w:hAnsi="Arial"/>
          <w:sz w:val="24"/>
          <w:szCs w:val="24"/>
        </w:rPr>
        <w:t xml:space="preserve">- дальнейшее восстановление производства сахарной свеклы и масличных культур;</w:t>
      </w:r>
    </w:p>
    <w:p>
      <w:pPr>
        <w:spacing w:after="60"/>
        <w:ind w:firstLine="567"/>
        <w:jc w:val="both"/>
      </w:pPr>
      <w:r>
        <w:rPr>
          <w:rFonts w:ascii="Arial" w:cs="Arial" w:eastAsia="Arial" w:hAnsi="Arial"/>
          <w:sz w:val="24"/>
          <w:szCs w:val="24"/>
        </w:rPr>
        <w:t xml:space="preserve">- обеспечение отрасли животноводства качественными кормами в достаточном объеме за счет роста производства кормовых культур ожидается увеличение производительности скота;</w:t>
      </w:r>
    </w:p>
    <w:p>
      <w:pPr>
        <w:spacing w:after="60"/>
        <w:ind w:firstLine="567"/>
        <w:jc w:val="both"/>
      </w:pPr>
      <w:r>
        <w:rPr>
          <w:rFonts w:ascii="Arial" w:cs="Arial" w:eastAsia="Arial" w:hAnsi="Arial"/>
          <w:sz w:val="24"/>
          <w:szCs w:val="24"/>
        </w:rPr>
        <w:t xml:space="preserve">- сохранение благополучной эпизоотической ситуации в стране;</w:t>
      </w:r>
    </w:p>
    <w:p>
      <w:pPr>
        <w:spacing w:after="60"/>
        <w:ind w:firstLine="567"/>
        <w:jc w:val="both"/>
      </w:pPr>
      <w:r>
        <w:rPr>
          <w:rFonts w:ascii="Arial" w:cs="Arial" w:eastAsia="Arial" w:hAnsi="Arial"/>
          <w:sz w:val="24"/>
          <w:szCs w:val="24"/>
        </w:rPr>
        <w:t xml:space="preserve">- оптимизация посевных площадей путем систематического увеличения посевов видами тех культур, которые пользуются наибольшим спросом;</w:t>
      </w:r>
    </w:p>
    <w:p>
      <w:pPr>
        <w:spacing w:after="60"/>
        <w:ind w:firstLine="567"/>
        <w:jc w:val="both"/>
      </w:pPr>
      <w:r>
        <w:rPr>
          <w:rFonts w:ascii="Arial" w:cs="Arial" w:eastAsia="Arial" w:hAnsi="Arial"/>
          <w:sz w:val="24"/>
          <w:szCs w:val="24"/>
        </w:rPr>
        <w:t xml:space="preserve">- активное использование систем капельного орошения;</w:t>
      </w:r>
    </w:p>
    <w:p>
      <w:pPr>
        <w:spacing w:after="60"/>
        <w:ind w:firstLine="567"/>
        <w:jc w:val="both"/>
      </w:pPr>
      <w:r>
        <w:rPr>
          <w:rFonts w:ascii="Arial" w:cs="Arial" w:eastAsia="Arial" w:hAnsi="Arial"/>
          <w:sz w:val="24"/>
          <w:szCs w:val="24"/>
        </w:rPr>
        <w:t xml:space="preserve">- дальнейшее развитие тепличных хозяйств;</w:t>
      </w:r>
    </w:p>
    <w:p>
      <w:pPr>
        <w:spacing w:after="60"/>
        <w:ind w:firstLine="567"/>
        <w:jc w:val="both"/>
      </w:pPr>
      <w:r>
        <w:rPr>
          <w:rFonts w:ascii="Arial" w:cs="Arial" w:eastAsia="Arial" w:hAnsi="Arial"/>
          <w:sz w:val="24"/>
          <w:szCs w:val="24"/>
        </w:rPr>
        <w:t xml:space="preserve">- 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производства и увеличения экспортного потенциала сельскохозяйственной продукции;</w:t>
      </w:r>
    </w:p>
    <w:p>
      <w:pPr>
        <w:spacing w:after="60"/>
        <w:ind w:firstLine="567"/>
        <w:jc w:val="both"/>
      </w:pPr>
      <w:r>
        <w:rPr>
          <w:rFonts w:ascii="Arial" w:cs="Arial" w:eastAsia="Arial" w:hAnsi="Arial"/>
          <w:sz w:val="24"/>
          <w:szCs w:val="24"/>
        </w:rPr>
        <w:t xml:space="preserve">- продолжение поддержки сельхозпроизводителей со стороны государства по действующим кредитным и лизинговым программам;</w:t>
      </w:r>
    </w:p>
    <w:p>
      <w:pPr>
        <w:spacing w:after="60"/>
        <w:ind w:firstLine="567"/>
        <w:jc w:val="both"/>
      </w:pPr>
      <w:r>
        <w:rPr>
          <w:rFonts w:ascii="Arial" w:cs="Arial" w:eastAsia="Arial" w:hAnsi="Arial"/>
          <w:sz w:val="24"/>
          <w:szCs w:val="24"/>
        </w:rPr>
        <w:t xml:space="preserve">- внедрение кластерных методов ведения хозяйства в агропромышленном комплексе, в том числе организация агрокластеров по переработке молока, мяса, растительного масла, сахара, производству рыбы, меда, картофеля, овощей;</w:t>
      </w:r>
    </w:p>
    <w:p>
      <w:pPr>
        <w:spacing w:after="60"/>
        <w:ind w:firstLine="567"/>
        <w:jc w:val="both"/>
      </w:pPr>
      <w:r>
        <w:rPr>
          <w:rFonts w:ascii="Arial" w:cs="Arial" w:eastAsia="Arial" w:hAnsi="Arial"/>
          <w:sz w:val="24"/>
          <w:szCs w:val="24"/>
        </w:rPr>
        <w:t xml:space="preserve">- разработка механизмов кооперации с отраслевой наукой и кластерными объединениями по улучшению доступа фермеров к инновациям и обеспечению внедрения современных технологий, в том числе ресурсосберегающих технологий в сельском хозяйстве;</w:t>
      </w:r>
    </w:p>
    <w:p>
      <w:pPr>
        <w:spacing w:after="60"/>
        <w:ind w:firstLine="567"/>
        <w:jc w:val="both"/>
      </w:pPr>
      <w:r>
        <w:rPr>
          <w:rFonts w:ascii="Arial" w:cs="Arial" w:eastAsia="Arial" w:hAnsi="Arial"/>
          <w:sz w:val="24"/>
          <w:szCs w:val="24"/>
        </w:rPr>
        <w:t xml:space="preserve">- преодоление мелкотоварного производства путем развития кооперации в сельском хозяйстве;</w:t>
      </w:r>
    </w:p>
    <w:p>
      <w:pPr>
        <w:spacing w:after="60"/>
        <w:ind w:firstLine="567"/>
        <w:jc w:val="both"/>
      </w:pPr>
      <w:r>
        <w:rPr>
          <w:rFonts w:ascii="Arial" w:cs="Arial" w:eastAsia="Arial" w:hAnsi="Arial"/>
          <w:sz w:val="24"/>
          <w:szCs w:val="24"/>
        </w:rPr>
        <w:t xml:space="preserve">- создание торгово-логистических центров для эффективной организации движения товаров в цепочке (кластере), которые будут способствовать устойчивому сбору/сбыту сельскохозяйственной продукции, ее хранению и внедрению для дальнейшей переработки;</w:t>
      </w:r>
    </w:p>
    <w:p>
      <w:pPr>
        <w:spacing w:after="60"/>
        <w:ind w:firstLine="567"/>
        <w:jc w:val="both"/>
      </w:pPr>
      <w:r>
        <w:rPr>
          <w:rFonts w:ascii="Arial" w:cs="Arial" w:eastAsia="Arial" w:hAnsi="Arial"/>
          <w:sz w:val="24"/>
          <w:szCs w:val="24"/>
        </w:rPr>
        <w:t xml:space="preserve">- оказание государственной поддержки в выделении ГСМ, в обеспечении фермеров необходимой сельскохозяйственной техникой на льготных кредитных условиях путем закупки по лизингу, а также в решении вопросов своевременного обеспечения крестьян и фермеров минеральными удобрениями;</w:t>
      </w:r>
    </w:p>
    <w:p>
      <w:pPr>
        <w:spacing w:after="60"/>
        <w:ind w:firstLine="567"/>
        <w:jc w:val="both"/>
      </w:pPr>
      <w:r>
        <w:rPr>
          <w:rFonts w:ascii="Arial" w:cs="Arial" w:eastAsia="Arial" w:hAnsi="Arial"/>
          <w:sz w:val="24"/>
          <w:szCs w:val="24"/>
        </w:rPr>
        <w:t xml:space="preserve">- обновление основных средств сельскохозяйственного производства, расширения инфраструктуры технических сервисных служб и модернизации машинно-тракторного парка сельскохозяйственных субъектов страны.</w:t>
      </w:r>
    </w:p>
    <w:p>
      <w:pPr>
        <w:spacing w:after="60"/>
        <w:ind w:firstLine="567"/>
        <w:jc w:val="both"/>
      </w:pPr>
      <w:r>
        <w:rPr>
          <w:rFonts w:ascii="Arial" w:cs="Arial" w:eastAsia="Arial" w:hAnsi="Arial"/>
          <w:sz w:val="24"/>
          <w:szCs w:val="24"/>
        </w:rPr>
        <w:t xml:space="preserve">Прирост промышленного производства в 2024-2027 годах прогнозируется в среднем за год на уровне 99,7% (по ВДС). Такое снижение обусловлено постепенным снижением добычи и объемов производства на месторождении Кумтор. К 2027 году прогнозируется снижение на 1,4 раза по сравнению с 2023 годом.</w:t>
      </w:r>
    </w:p>
    <w:p>
      <w:pPr>
        <w:spacing w:after="60"/>
        <w:ind w:firstLine="567"/>
        <w:jc w:val="both"/>
      </w:pPr>
      <w:r>
        <w:rPr>
          <w:rFonts w:ascii="Arial" w:cs="Arial" w:eastAsia="Arial" w:hAnsi="Arial"/>
          <w:sz w:val="24"/>
          <w:szCs w:val="24"/>
        </w:rPr>
        <w:t xml:space="preserve">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Чуйской, Джалал-Абадской, Ошской и Таласской областях.</w:t>
      </w:r>
    </w:p>
    <w:p>
      <w:pPr>
        <w:spacing w:after="60"/>
        <w:ind w:firstLine="567"/>
        <w:jc w:val="both"/>
      </w:pPr>
      <w:r>
        <w:rPr>
          <w:rFonts w:ascii="Arial" w:cs="Arial" w:eastAsia="Arial" w:hAnsi="Arial"/>
          <w:sz w:val="24"/>
          <w:szCs w:val="24"/>
        </w:rPr>
        <w:t xml:space="preserve">Прогнозируется наращивание в среднем в год объемов производства пищевых продуктов (включая напитки) на 5,4%, текстильного производства, производства одежды и обуви, кожи и прочих кожаных изделий на 6,0%, увеличение производства кокса и очищенных нефтепродуктов на 12,5%, рост производства строительных материалов на 3,6%.</w:t>
      </w:r>
    </w:p>
    <w:p>
      <w:pPr>
        <w:spacing w:after="60"/>
        <w:ind w:firstLine="567"/>
        <w:jc w:val="both"/>
      </w:pPr>
      <w:r>
        <w:rPr>
          <w:rFonts w:ascii="Arial" w:cs="Arial" w:eastAsia="Arial" w:hAnsi="Arial"/>
          <w:sz w:val="24"/>
          <w:szCs w:val="24"/>
        </w:rPr>
        <w:t xml:space="preserve">Рост объемов электроэнергии, природного газа, паров с кондиционированным воздухом прогнозируется в среднем в год на уровне 101,0%. Выработка электроэнергии к 2027 году прогнозируется в объеме 14 814,5 млн. кВт час, что по сравнению с 2024 годом больше на 2,0%, которая рассчитана с учетом многолетней приточностью реки Нарын в створе Токтогульского гидроузла.</w:t>
      </w:r>
    </w:p>
    <w:p>
      <w:pPr>
        <w:spacing w:after="60"/>
        <w:ind w:firstLine="567"/>
        <w:jc w:val="both"/>
      </w:pPr>
      <w:r>
        <w:rPr>
          <w:rFonts w:ascii="Arial" w:cs="Arial" w:eastAsia="Arial" w:hAnsi="Arial"/>
          <w:sz w:val="24"/>
          <w:szCs w:val="24"/>
        </w:rPr>
        <w:t xml:space="preserve">К 2024 году рост экспорта электроэнергии обуславливается за счет завершения проекта CASA-1000 по созданию рынка электроэнергии между Центральной и Южной Азией и строительства линии электропередачи 500 кВт "Датка-Ходжент". Это вклад Кыргызской Республики в повышение эффективности использования не только собственного гидроэнергетического потенциала, но и топливно-энергетических ресурсов всей Центральной и Южной Азии. Также, до 2026 года ожидается увеличение генерирующих мощностей за счет реабилитации Токтогульской ГЭС, Камбар-Ата 2, Уч-Курганской ГЭС и Ат-Башинской ГЭС более чем на 400 МВт (430 МВт).</w:t>
      </w:r>
    </w:p>
    <w:p>
      <w:pPr>
        <w:spacing w:after="60"/>
        <w:ind w:firstLine="567"/>
        <w:jc w:val="both"/>
      </w:pPr>
      <w:r>
        <w:rPr>
          <w:rFonts w:ascii="Arial" w:cs="Arial" w:eastAsia="Arial" w:hAnsi="Arial"/>
          <w:sz w:val="24"/>
          <w:szCs w:val="24"/>
        </w:rPr>
        <w:t xml:space="preserve">Кроме того, дан старт начала строительства одной из крупнейших гидроэлектростанций в Центральной Азии - Камбаратинская ГЭС-1, которая обеспечит энергетическую безопасность и независимость страны, мощность которой составит порядка 1900 МВт, а ежегодная выработка электрической энергии - 5,6 млрд. кВтч. Ожидается, что водохранилище объемом 4,65 млрд. м</w:t>
      </w:r>
      <w:r>
        <w:rPr>
          <w:rFonts w:ascii="Arial" w:cs="Arial" w:eastAsia="Arial" w:hAnsi="Arial"/>
          <w:sz w:val="24"/>
          <w:szCs w:val="24"/>
        </w:rPr>
        <w:t xml:space="preserve">3</w:t>
      </w:r>
      <w:r>
        <w:rPr>
          <w:rFonts w:ascii="Arial" w:cs="Arial" w:eastAsia="Arial" w:hAnsi="Arial"/>
          <w:sz w:val="24"/>
          <w:szCs w:val="24"/>
        </w:rPr>
        <w:t xml:space="preserve"> будет осуществлять сезонное регулирование стока реки Нарын, компенсируя снижение зимней энергоотдачи Нижне-Нарынского каскада ГЭС (Токтогульская ГЭС, Курпсайская ГЭС и другие). Важным преимуществом ГЭС "Камбар-Ата-1" станет независимость работы от ограничений в зимнее время, поскольку вода, сбрасываемая со станции, будет накапливаться в Токтогульском водохранилище. Кроме того, при полном запуске ГЭС "Камбар-Ата-1" будут созданы условия для работы ГЭС "Камбар-Ата-2" на полную мощность, начав использовать второй и третий агрегаты, что впоследствии увеличит ее мощность.</w:t>
      </w:r>
    </w:p>
    <w:p>
      <w:pPr>
        <w:spacing w:after="60"/>
        <w:ind w:firstLine="567"/>
        <w:jc w:val="both"/>
      </w:pPr>
      <w:r>
        <w:rPr>
          <w:rFonts w:ascii="Arial" w:cs="Arial" w:eastAsia="Arial" w:hAnsi="Arial"/>
          <w:sz w:val="24"/>
          <w:szCs w:val="24"/>
        </w:rPr>
        <w:t xml:space="preserve">Газификация регионов республики совместно с увеличением добычи угля позволит диверсифицировать топливно-энергетический баланс, уменьшить зависимость республики от одного источника энергии (в частности от электроэнергии), сократит нагрузку на электрические сети в зимние периоды.</w:t>
      </w:r>
    </w:p>
    <w:p>
      <w:pPr>
        <w:spacing w:after="60"/>
        <w:ind w:firstLine="567"/>
        <w:jc w:val="both"/>
      </w:pPr>
      <w:r>
        <w:rPr>
          <w:rFonts w:ascii="Arial" w:cs="Arial" w:eastAsia="Arial" w:hAnsi="Arial"/>
          <w:sz w:val="24"/>
          <w:szCs w:val="24"/>
        </w:rPr>
        <w:t xml:space="preserve">На рост объема добычи угля к 2027 году будут влиять в значительной мере поставки угля на ТЭЦ города Бишкек в объеме не менее 1 млн. тонн угля в маловодные периоды, а также выполнение мероприятий по этапному переводу теплогенерирующих предприятий (котельные) с электрической энергии на твердое топливо (уголь). Кроме того, на дальнейшее развитие угледобывающей отрасли значительно повлияет проведение конкурса на комплексное освоение месторождения Кара-Кече, включающее строительство ТЭС Кара-Кече и железной дороги от месторождения Кара-Кече до станции Балыкчы. Мероприятия, направленные на развитие угледобывающей отрасли и увеличение потребности твердого топлива, позволят в ближайшей перспективе уменьшить нагрузку на электрические сети на отопительный сезон и сократить зависимость от накопления воды в Токтогульском водохранилище.</w:t>
      </w:r>
    </w:p>
    <w:p>
      <w:pPr>
        <w:spacing w:after="60"/>
        <w:ind w:firstLine="567"/>
        <w:jc w:val="both"/>
      </w:pPr>
      <w:r>
        <w:rPr>
          <w:rFonts w:ascii="Arial" w:cs="Arial" w:eastAsia="Arial" w:hAnsi="Arial"/>
          <w:sz w:val="24"/>
          <w:szCs w:val="24"/>
        </w:rPr>
        <w:t xml:space="preserve">В 2024-2027 годах приоритетными направлениями развития строительной отрасли будут:</w:t>
      </w:r>
    </w:p>
    <w:p>
      <w:pPr>
        <w:spacing w:after="60"/>
        <w:ind w:firstLine="567"/>
        <w:jc w:val="both"/>
      </w:pPr>
      <w:r>
        <w:rPr>
          <w:rFonts w:ascii="Arial" w:cs="Arial" w:eastAsia="Arial" w:hAnsi="Arial"/>
          <w:sz w:val="24"/>
          <w:szCs w:val="24"/>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4"/>
          <w:szCs w:val="24"/>
        </w:rPr>
        <w:t xml:space="preserve">- строительство доступного социального жилья для уязвимых слоев населения;</w:t>
      </w:r>
    </w:p>
    <w:p>
      <w:pPr>
        <w:spacing w:after="60"/>
        <w:ind w:firstLine="567"/>
        <w:jc w:val="both"/>
      </w:pPr>
      <w:r>
        <w:rPr>
          <w:rFonts w:ascii="Arial" w:cs="Arial" w:eastAsia="Arial" w:hAnsi="Arial"/>
          <w:sz w:val="24"/>
          <w:szCs w:val="24"/>
        </w:rPr>
        <w:t xml:space="preserve">- увеличение объемов жилищного строительства, объектов социального и промышленного назначения, переход на новые архитектурно-строительные системы, типы зданий и современные технологии;</w:t>
      </w:r>
    </w:p>
    <w:p>
      <w:pPr>
        <w:spacing w:after="60"/>
        <w:ind w:firstLine="567"/>
        <w:jc w:val="both"/>
      </w:pPr>
      <w:r>
        <w:rPr>
          <w:rFonts w:ascii="Arial" w:cs="Arial" w:eastAsia="Arial" w:hAnsi="Arial"/>
          <w:sz w:val="24"/>
          <w:szCs w:val="24"/>
        </w:rPr>
        <w:t xml:space="preserve">- реабилитация и сохранение автомобильных дорог, создание либеральных, безопасных международных транспортных коридоров, в том числе применение новых технологий в проектировании и строительстве дорог;</w:t>
      </w:r>
    </w:p>
    <w:p>
      <w:pPr>
        <w:spacing w:after="60"/>
        <w:ind w:firstLine="567"/>
        <w:jc w:val="both"/>
      </w:pPr>
      <w:r>
        <w:rPr>
          <w:rFonts w:ascii="Arial" w:cs="Arial" w:eastAsia="Arial" w:hAnsi="Arial"/>
          <w:sz w:val="24"/>
          <w:szCs w:val="24"/>
        </w:rPr>
        <w:t xml:space="preserve">- широкое применение механизмов государственно-частного партнерства в строительной отрасли;</w:t>
      </w:r>
    </w:p>
    <w:p>
      <w:pPr>
        <w:spacing w:after="60"/>
        <w:ind w:firstLine="567"/>
        <w:jc w:val="both"/>
      </w:pPr>
      <w:r>
        <w:rPr>
          <w:rFonts w:ascii="Arial" w:cs="Arial" w:eastAsia="Arial" w:hAnsi="Arial"/>
          <w:sz w:val="24"/>
          <w:szCs w:val="24"/>
        </w:rPr>
        <w:t xml:space="preserve">- привлечение инвестиций на строительство и реконструкцию следующих объектов: Камбаратинская ГЭС-1, Верхне-Нарынский каскад ГЭС и другие генерирующие объекты.</w:t>
      </w:r>
    </w:p>
    <w:p>
      <w:pPr>
        <w:spacing w:after="6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2024-2027 годах возрастет в среднем на 7,4% (от 179,0 млрд. сомов в 2024 году до 255,1 млрд. сомов в 2027 году). Структура капитальных вложений относительно прогнозируемой в 2023 году изменится в сторону снижения доли внутренних инвестиций до 72,8% общего объема капитальных вложений в 2027 году и, соответственно, увеличения доли внешних инвестиций до 27,2%, по причине увеличения доли иностранных кредитов в стране.</w:t>
      </w:r>
    </w:p>
    <w:p>
      <w:pPr>
        <w:spacing w:after="60"/>
        <w:ind w:firstLine="567"/>
        <w:jc w:val="both"/>
      </w:pPr>
      <w:r>
        <w:rPr>
          <w:rFonts w:ascii="Arial" w:cs="Arial" w:eastAsia="Arial" w:hAnsi="Arial"/>
          <w:sz w:val="24"/>
          <w:szCs w:val="24"/>
        </w:rPr>
        <w:t xml:space="preserve">В строительной отрасли прогнозируется темп реального прироста в среднем за год на 7,0%.</w:t>
      </w:r>
    </w:p>
    <w:p>
      <w:pPr>
        <w:spacing w:after="60"/>
        <w:ind w:firstLine="567"/>
        <w:jc w:val="both"/>
      </w:pPr>
      <w:r>
        <w:rPr>
          <w:rFonts w:ascii="Arial" w:cs="Arial" w:eastAsia="Arial" w:hAnsi="Arial"/>
          <w:sz w:val="24"/>
          <w:szCs w:val="24"/>
        </w:rPr>
        <w:t xml:space="preserve">В 2024-2027 годах рост в сфере услуг прогнозируется в среднем на уровне 104,9% в год, с наибольшим удельным весом вклада в экономический рост в 2,32 процентных пункта. Данный рост будет обеспечен за счет улучшения потребительского спроса, обусловленного ростом реальных денежных доходов населения в среднем за год на 2,5%. Важным фактором останутся интеграционные механизмы в рамках ЕАЭС, улучшение внешнего спроса в соседних странах. Доля рыночных услуг, обеспечивающих рост услуг, увеличится до 79,0, а темп роста в среднем за год составит 106,5%.</w:t>
      </w:r>
    </w:p>
    <w:p>
      <w:pPr>
        <w:spacing w:after="60"/>
        <w:ind w:firstLine="567"/>
        <w:jc w:val="both"/>
      </w:pPr>
      <w:r>
        <w:rPr>
          <w:rFonts w:ascii="Arial" w:cs="Arial" w:eastAsia="Arial" w:hAnsi="Arial"/>
          <w:sz w:val="24"/>
          <w:szCs w:val="24"/>
        </w:rPr>
        <w:t xml:space="preserve">Среднегодовой темп роста оптовой и розничной торговли; ремонт автомобилей и мотоциклов в 2024-2027 годах прогнозируется на уровне 107,6%. В структуре сферы услуг удельный вес составит 49,0% и увеличится на 6,4% по сравнению с 2023 годом.</w:t>
      </w:r>
    </w:p>
    <w:p>
      <w:pPr>
        <w:spacing w:after="60"/>
        <w:ind w:firstLine="567"/>
        <w:jc w:val="both"/>
      </w:pPr>
      <w:r>
        <w:rPr>
          <w:rFonts w:ascii="Arial" w:cs="Arial" w:eastAsia="Arial" w:hAnsi="Arial"/>
          <w:sz w:val="24"/>
          <w:szCs w:val="24"/>
        </w:rPr>
        <w:t xml:space="preserve">Приоритетными направлениями развития в 2024-2027 годах будут: стимулирование внутреннего спроса, дальнейшее совершенствование системы регулирования предпринимательской деятельности, полная адаптация экспортного потенциала республики к потребностям внешних рынков.</w:t>
      </w:r>
    </w:p>
    <w:p>
      <w:pPr>
        <w:spacing w:after="60"/>
        <w:ind w:firstLine="567"/>
        <w:jc w:val="both"/>
      </w:pPr>
      <w:r>
        <w:rPr>
          <w:rFonts w:ascii="Arial" w:cs="Arial" w:eastAsia="Arial" w:hAnsi="Arial"/>
          <w:sz w:val="24"/>
          <w:szCs w:val="24"/>
        </w:rPr>
        <w:t xml:space="preserve">Доля услуг транспортной деятельности и хранения грузов составит 9,8% в общем объеме услуг, а реальный темп роста прогнозируется на уровне 107,3%. Увеличение транспортных услуг приведет к увеличению роста торговли горюче-смазочными материалами и запасными частями.</w:t>
      </w:r>
    </w:p>
    <w:p>
      <w:pPr>
        <w:spacing w:after="60"/>
        <w:ind w:firstLine="567"/>
        <w:jc w:val="both"/>
      </w:pPr>
      <w:r>
        <w:rPr>
          <w:rFonts w:ascii="Arial" w:cs="Arial" w:eastAsia="Arial" w:hAnsi="Arial"/>
          <w:sz w:val="24"/>
          <w:szCs w:val="24"/>
        </w:rPr>
        <w:t xml:space="preserve">Среднегодовой рост услуг связи и информации прогнозируется на уровне 103,4%.</w:t>
      </w:r>
    </w:p>
    <w:p>
      <w:pPr>
        <w:spacing w:after="60"/>
        <w:ind w:firstLine="567"/>
        <w:jc w:val="both"/>
      </w:pPr>
      <w:r>
        <w:rPr>
          <w:rFonts w:ascii="Arial" w:cs="Arial" w:eastAsia="Arial" w:hAnsi="Arial"/>
          <w:sz w:val="24"/>
          <w:szCs w:val="24"/>
        </w:rPr>
        <w:t xml:space="preserve">В сфере туризма будет продолжена работа по повышению узнаваемости Кыргызстана как страны туризма на традиционных и потенциальных туристских рынках, улучшению туристической инфраструктуры, инновационному развитию туристических услуг, повышению уровня предоставления услуг в регионах, а также охраны окружающей среды. Рост объемов туристической отрасли будет способствовать росту услуг гостиниц и ресторанов, среднегодовой темп роста в 2024-2027 годах прогнозируется на уровне 106,6%.</w:t>
      </w:r>
    </w:p>
    <w:p>
      <w:pPr>
        <w:spacing w:after="60"/>
        <w:ind w:firstLine="567"/>
        <w:jc w:val="both"/>
      </w:pPr>
      <w:r>
        <w:rPr>
          <w:rFonts w:ascii="Arial" w:cs="Arial" w:eastAsia="Arial" w:hAnsi="Arial"/>
          <w:sz w:val="24"/>
          <w:szCs w:val="24"/>
        </w:rPr>
        <w:t xml:space="preserve">По прогнозу восстановление темпов экономического развития стран - основных торговых партнеров приведет к росту притока денежных переводов мигрантов, которые повлияют на увеличение доходов населения и скажется на росте объемов услуг в сфере недвижимости, финансового посредничества, образования и др.</w:t>
      </w:r>
    </w:p>
    <w:p>
      <w:pPr>
        <w:spacing w:after="60"/>
        <w:ind w:firstLine="567"/>
        <w:jc w:val="both"/>
      </w:pPr>
      <w:r>
        <w:rPr>
          <w:rFonts w:ascii="Arial" w:cs="Arial" w:eastAsia="Arial" w:hAnsi="Arial"/>
          <w:sz w:val="24"/>
          <w:szCs w:val="24"/>
        </w:rPr>
        <w:t xml:space="preserve">Внешнеэкономическая деятельность будет реализовываться с учетом влияния внешних шоков, принятием мер по созданию благоприятных условий для роста и развития экспортного потенциала республики, выявлению и поэтапному устранению имеющихся барьеров, основными направлениями деятельности будут:</w:t>
      </w:r>
    </w:p>
    <w:p>
      <w:pPr>
        <w:spacing w:after="60"/>
        <w:ind w:firstLine="567"/>
        <w:jc w:val="both"/>
      </w:pPr>
      <w:r>
        <w:rPr>
          <w:rFonts w:ascii="Arial" w:cs="Arial" w:eastAsia="Arial" w:hAnsi="Arial"/>
          <w:sz w:val="24"/>
          <w:szCs w:val="24"/>
        </w:rPr>
        <w:t xml:space="preserve">- дальнейшее расширение рынков экспорта через активизацию работы по выходу отечественной продукции на целевые рынки;</w:t>
      </w:r>
    </w:p>
    <w:p>
      <w:pPr>
        <w:spacing w:after="60"/>
        <w:ind w:firstLine="567"/>
        <w:jc w:val="both"/>
      </w:pPr>
      <w:r>
        <w:rPr>
          <w:rFonts w:ascii="Arial" w:cs="Arial" w:eastAsia="Arial" w:hAnsi="Arial"/>
          <w:sz w:val="24"/>
          <w:szCs w:val="24"/>
        </w:rPr>
        <w:t xml:space="preserve">- активизация инструментов экономической дипломатии для продвижения торгово-экономических интересов страны;</w:t>
      </w:r>
    </w:p>
    <w:p>
      <w:pPr>
        <w:spacing w:after="60"/>
        <w:ind w:firstLine="567"/>
        <w:jc w:val="both"/>
      </w:pPr>
      <w:r>
        <w:rPr>
          <w:rFonts w:ascii="Arial" w:cs="Arial" w:eastAsia="Arial" w:hAnsi="Arial"/>
          <w:sz w:val="24"/>
          <w:szCs w:val="24"/>
        </w:rPr>
        <w:t xml:space="preserve">- реализация мероприятий по использованию преимуществ от получения статуса бенефициара "ВСП+".</w:t>
      </w:r>
    </w:p>
    <w:p>
      <w:pPr>
        <w:spacing w:after="60"/>
        <w:ind w:firstLine="567"/>
        <w:jc w:val="both"/>
      </w:pPr>
      <w:r>
        <w:rPr>
          <w:rFonts w:ascii="Arial" w:cs="Arial" w:eastAsia="Arial" w:hAnsi="Arial"/>
          <w:sz w:val="24"/>
          <w:szCs w:val="24"/>
        </w:rPr>
        <w:t xml:space="preserve">Рост объемов внешнеторгового оборота в 2024-2027 годах прогнозируется в среднем на 5,2% ежегодно и в 2027 году достигнет уровня 11300,0 млн. долл. США. Номинальный рост объема экспорта товаров в 2024-2027 годах прогнозируется в среднем на 7,2%, а импорта на 4,7%.</w:t>
      </w:r>
    </w:p>
    <w:p>
      <w:pPr>
        <w:spacing w:after="60"/>
        <w:ind w:firstLine="567"/>
        <w:jc w:val="both"/>
      </w:pPr>
      <w:r>
        <w:rPr>
          <w:rFonts w:ascii="Arial" w:cs="Arial" w:eastAsia="Arial" w:hAnsi="Arial"/>
          <w:sz w:val="24"/>
          <w:szCs w:val="24"/>
        </w:rPr>
        <w:t xml:space="preserve">Политика социального развития в 2024-2027 годах также будет сконцентрирована на выполнении в полном объеме гарантированных социальных обязательств государства, повышении уровня жизни населения и на улучшение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нуждающимся категориям граждан, стимулированию экономической активности трудоспособного населения и оказанию содействия выхода их из трудной жизненной ситуации.</w:t>
      </w:r>
    </w:p>
    <w:p>
      <w:pPr>
        <w:spacing w:after="60"/>
        <w:ind w:firstLine="567"/>
        <w:jc w:val="both"/>
      </w:pPr>
      <w:r>
        <w:rPr>
          <w:rFonts w:ascii="Arial" w:cs="Arial" w:eastAsia="Arial" w:hAnsi="Arial"/>
          <w:sz w:val="24"/>
          <w:szCs w:val="24"/>
        </w:rPr>
        <w:t xml:space="preserve">Будут реализованы меры по обеспечению финансовой устойчивости пенсионной системы и повышению пенсий путем совершенствования системы государственного социального страхования, которая будет направлена на реформирование пенсионного обеспечения, на улучшение страховых принципов пенсионной системы и модернизацию страховой составляющей с учетом потребностей различных возрастных групп пенсионеров.</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2024-2027 годах будут складываться следующим образом:</w:t>
      </w:r>
    </w:p>
    <w:p>
      <w:pPr>
        <w:spacing w:after="60"/>
        <w:ind w:firstLine="567"/>
        <w:jc w:val="both"/>
      </w:pPr>
      <w:r>
        <w:rPr>
          <w:rFonts w:ascii="Arial" w:cs="Arial" w:eastAsia="Arial" w:hAnsi="Arial"/>
          <w:sz w:val="24"/>
          <w:szCs w:val="24"/>
        </w:rPr>
        <w:t xml:space="preserve">- номинальный прирост денежных доходов населения в 2024-2027 годах прогнозируется в среднем на уровне 9,0%. В структуре денежных доходов прирост заработной платы составит в среднем 8,0%;</w:t>
      </w:r>
    </w:p>
    <w:p>
      <w:pPr>
        <w:spacing w:after="60"/>
        <w:ind w:firstLine="567"/>
        <w:jc w:val="both"/>
      </w:pPr>
      <w:r>
        <w:rPr>
          <w:rFonts w:ascii="Arial" w:cs="Arial" w:eastAsia="Arial" w:hAnsi="Arial"/>
          <w:sz w:val="24"/>
          <w:szCs w:val="24"/>
        </w:rPr>
        <w:t xml:space="preserve">- прирост объема ВВП на душу населения в среднем в 2024-2027 годах оценивается на уровне 7,5%.</w:t>
      </w:r>
    </w:p>
    <w:p>
      <w:pPr>
        <w:spacing w:after="60"/>
        <w:ind w:firstLine="567"/>
        <w:jc w:val="both"/>
      </w:pPr>
      <w:r>
        <w:rPr>
          <w:rFonts w:ascii="Arial" w:cs="Arial" w:eastAsia="Arial" w:hAnsi="Arial"/>
          <w:sz w:val="24"/>
          <w:szCs w:val="24"/>
        </w:rPr>
        <w:t xml:space="preserve">Прогнозируется увеличение размера прожиточного минимума с 7838,5 сомов в 2023 году до 9598,0 сомов к 2027 году. Коэффициент отношения среднемесячной заработной платы к прожиточному минимуму для населения трудоспособного возраста ожидается на уровне 3,2 условных единиц к 2027 году.</w:t>
      </w:r>
    </w:p>
    <w:p>
      <w:pPr>
        <w:spacing w:after="60"/>
        <w:ind w:firstLine="567"/>
        <w:jc w:val="both"/>
      </w:pPr>
      <w:r>
        <w:rPr>
          <w:rFonts w:ascii="Arial" w:cs="Arial" w:eastAsia="Arial" w:hAnsi="Arial"/>
          <w:sz w:val="24"/>
          <w:szCs w:val="24"/>
        </w:rPr>
        <w:t xml:space="preserve">Прогнозируется увеличение номинального размера пенсии относительно 2023 года на 21,9% и составит в 2027 году 8563,9 сомов.</w:t>
      </w:r>
    </w:p>
    <w:p>
      <w:pPr>
        <w:spacing w:after="60"/>
        <w:ind w:firstLine="567"/>
        <w:jc w:val="both"/>
      </w:pPr>
      <w:r>
        <w:rPr>
          <w:rFonts w:ascii="Arial" w:cs="Arial" w:eastAsia="Arial" w:hAnsi="Arial"/>
          <w:sz w:val="24"/>
          <w:szCs w:val="24"/>
        </w:rPr>
        <w:t xml:space="preserve">Уровень бедности к 2027 году вернется к уровню и составит 25,3%.</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В среднесрочной перспективе на 2023-2027 годы экономический рост в год прогнозируется в среднем на 4,0%.</w:t>
      </w:r>
    </w:p>
    <w:p>
      <w:pPr>
        <w:spacing w:after="60"/>
        <w:ind w:firstLine="567"/>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w:t>
      </w:r>
    </w:p>
    <w:p>
      <w:pPr>
        <w:spacing w:after="60"/>
        <w:ind w:firstLine="567"/>
        <w:jc w:val="both"/>
      </w:pPr>
      <w:r>
        <w:rPr>
          <w:rFonts w:ascii="Arial" w:cs="Arial" w:eastAsia="Arial" w:hAnsi="Arial"/>
          <w:sz w:val="24"/>
          <w:szCs w:val="24"/>
        </w:rPr>
        <w:t xml:space="preserve">Кабинетом Министров, при необходимости, будет разработана система мер, направленная на смягчение возможного шокового воздействия на экономику негативных процессов и дисбалансов/рисков, связанных с ухудшением мировой конъюнктуры.</w:t>
      </w:r>
    </w:p>
    <w:p>
      <w:pPr>
        <w:spacing w:after="60"/>
        <w:ind w:firstLine="567"/>
        <w:jc w:val="both"/>
      </w:pPr>
      <w:r>
        <w:rPr>
          <w:rFonts w:ascii="Arial" w:cs="Arial" w:eastAsia="Arial" w:hAnsi="Arial"/>
          <w:sz w:val="24"/>
          <w:szCs w:val="24"/>
        </w:rPr>
        <w:t xml:space="preserve">Важными условиями выполнения прогнозируемых целевых показателей на среднесрочный период являются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60"/>
        <w:ind w:firstLine="567"/>
        <w:jc w:val="both"/>
      </w:pPr>
      <w:r>
        <w:rPr>
          <w:rFonts w:ascii="Arial" w:cs="Arial" w:eastAsia="Arial" w:hAnsi="Arial"/>
          <w:sz w:val="24"/>
          <w:szCs w:val="24"/>
        </w:rPr>
        <w:t xml:space="preserve">При этом следует отметить, что с учетом фактически сложившейся ситуации в экономике, появления новых факторов, направленных на снижение/рост ожидаемых показателей социально-экономического развития в 2022 году, прогнозируемые макроэкономические показатели на 2023-2027 годы будут скорректированы.</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1-14 к настоящему Среднесрочному прогнозу социально-экономического развития.</w:t>
      </w:r>
    </w:p>
    <w:p>
      <w:pPr>
        <w:spacing w:after="120" w:before="200"/>
        <w:ind w:firstLine="567"/>
        <w:jc w:val="both"/>
      </w:pPr>
      <w:r>
        <w:rPr>
          <w:rFonts w:ascii="Arial" w:cs="Arial" w:eastAsia="Arial" w:hAnsi="Arial"/>
          <w:b/>
          <w:bCs/>
          <w:sz w:val="24"/>
          <w:szCs w:val="24"/>
        </w:rPr>
        <w:t xml:space="preserve">Список сокращений:</w:t>
      </w:r>
    </w:p>
    <w:p>
      <w:pPr>
        <w:spacing w:after="120" w:before="20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АБР</w:t>
      </w:r>
      <w:r>
        <w:rPr>
          <w:rFonts w:ascii="Arial" w:cs="Arial" w:eastAsia="Arial" w:hAnsi="Arial"/>
          <w:sz w:val="24"/>
          <w:szCs w:val="24"/>
        </w:rPr>
        <w:t xml:space="preserve">	</w:t>
      </w:r>
      <w:r>
        <w:rPr>
          <w:rFonts w:ascii="Arial" w:cs="Arial" w:eastAsia="Arial" w:hAnsi="Arial"/>
          <w:sz w:val="24"/>
          <w:szCs w:val="24"/>
        </w:rPr>
        <w:t xml:space="preserve">Азиатский банк развития</w:t>
      </w:r>
    </w:p>
    <w:p>
      <w:pPr>
        <w:tabs>
          <w:tab w:val="right" w:pos="10178"/>
        </w:tabs>
        <w:spacing w:after="120"/>
      </w:pPr>
      <w:r>
        <w:rPr>
          <w:rFonts w:ascii="Arial" w:cs="Arial" w:eastAsia="Arial" w:hAnsi="Arial"/>
          <w:b/>
          <w:bCs/>
          <w:sz w:val="24"/>
          <w:szCs w:val="24"/>
        </w:rPr>
        <w:t xml:space="preserve">АЗС</w:t>
      </w:r>
      <w:r>
        <w:rPr>
          <w:rFonts w:ascii="Arial" w:cs="Arial" w:eastAsia="Arial" w:hAnsi="Arial"/>
          <w:sz w:val="24"/>
          <w:szCs w:val="24"/>
        </w:rPr>
        <w:t xml:space="preserve">	</w:t>
      </w:r>
      <w:r>
        <w:rPr>
          <w:rFonts w:ascii="Arial" w:cs="Arial" w:eastAsia="Arial" w:hAnsi="Arial"/>
          <w:sz w:val="24"/>
          <w:szCs w:val="24"/>
        </w:rPr>
        <w:t xml:space="preserve">автомобильная заправочная станция</w:t>
      </w:r>
    </w:p>
    <w:p>
      <w:pPr>
        <w:tabs>
          <w:tab w:val="right" w:pos="10178"/>
        </w:tabs>
        <w:spacing w:after="120"/>
      </w:pPr>
      <w:r>
        <w:rPr>
          <w:rFonts w:ascii="Arial" w:cs="Arial" w:eastAsia="Arial" w:hAnsi="Arial"/>
          <w:b/>
          <w:bCs/>
          <w:sz w:val="24"/>
          <w:szCs w:val="24"/>
        </w:rPr>
        <w:t xml:space="preserve">АО</w:t>
      </w:r>
      <w:r>
        <w:rPr>
          <w:rFonts w:ascii="Arial" w:cs="Arial" w:eastAsia="Arial" w:hAnsi="Arial"/>
          <w:sz w:val="24"/>
          <w:szCs w:val="24"/>
        </w:rPr>
        <w:t xml:space="preserve">	</w:t>
      </w:r>
      <w:r>
        <w:rPr>
          <w:rFonts w:ascii="Arial" w:cs="Arial" w:eastAsia="Arial" w:hAnsi="Arial"/>
          <w:sz w:val="24"/>
          <w:szCs w:val="24"/>
        </w:rPr>
        <w:t xml:space="preserve">акционерное общество</w:t>
      </w:r>
    </w:p>
    <w:p>
      <w:pPr>
        <w:tabs>
          <w:tab w:val="right" w:pos="10178"/>
        </w:tabs>
        <w:spacing w:after="120"/>
      </w:pPr>
      <w:r>
        <w:rPr>
          <w:rFonts w:ascii="Arial" w:cs="Arial" w:eastAsia="Arial" w:hAnsi="Arial"/>
          <w:b/>
          <w:bCs/>
          <w:sz w:val="24"/>
          <w:szCs w:val="24"/>
        </w:rPr>
        <w:t xml:space="preserve">ВБ</w:t>
      </w:r>
      <w:r>
        <w:rPr>
          <w:rFonts w:ascii="Arial" w:cs="Arial" w:eastAsia="Arial" w:hAnsi="Arial"/>
          <w:sz w:val="24"/>
          <w:szCs w:val="24"/>
        </w:rPr>
        <w:t xml:space="preserve">	</w:t>
      </w:r>
      <w:r>
        <w:rPr>
          <w:rFonts w:ascii="Arial" w:cs="Arial" w:eastAsia="Arial" w:hAnsi="Arial"/>
          <w:sz w:val="24"/>
          <w:szCs w:val="24"/>
        </w:rPr>
        <w:t xml:space="preserve">Всемирный банк</w:t>
      </w:r>
    </w:p>
    <w:p>
      <w:pPr>
        <w:tabs>
          <w:tab w:val="right" w:pos="10178"/>
        </w:tabs>
        <w:spacing w:after="120"/>
      </w:pPr>
      <w:r>
        <w:rPr>
          <w:rFonts w:ascii="Arial" w:cs="Arial" w:eastAsia="Arial" w:hAnsi="Arial"/>
          <w:b/>
          <w:bCs/>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валовой внутренний продукт</w:t>
      </w:r>
    </w:p>
    <w:p>
      <w:pPr>
        <w:tabs>
          <w:tab w:val="right" w:pos="10178"/>
        </w:tabs>
        <w:spacing w:after="120"/>
      </w:pPr>
      <w:r>
        <w:rPr>
          <w:rFonts w:ascii="Arial" w:cs="Arial" w:eastAsia="Arial" w:hAnsi="Arial"/>
          <w:b/>
          <w:bCs/>
          <w:sz w:val="24"/>
          <w:szCs w:val="24"/>
        </w:rPr>
        <w:t xml:space="preserve">ВДС</w:t>
      </w:r>
      <w:r>
        <w:rPr>
          <w:rFonts w:ascii="Arial" w:cs="Arial" w:eastAsia="Arial" w:hAnsi="Arial"/>
          <w:sz w:val="24"/>
          <w:szCs w:val="24"/>
        </w:rPr>
        <w:t xml:space="preserve">	</w:t>
      </w:r>
      <w:r>
        <w:rPr>
          <w:rFonts w:ascii="Arial" w:cs="Arial" w:eastAsia="Arial" w:hAnsi="Arial"/>
          <w:sz w:val="24"/>
          <w:szCs w:val="24"/>
        </w:rPr>
        <w:t xml:space="preserve">валовая добавленная стоимость</w:t>
      </w:r>
    </w:p>
    <w:p>
      <w:pPr>
        <w:tabs>
          <w:tab w:val="right" w:pos="10178"/>
        </w:tabs>
        <w:spacing w:after="120"/>
      </w:pPr>
      <w:r>
        <w:rPr>
          <w:rFonts w:ascii="Arial" w:cs="Arial" w:eastAsia="Arial" w:hAnsi="Arial"/>
          <w:b/>
          <w:bCs/>
          <w:sz w:val="24"/>
          <w:szCs w:val="24"/>
        </w:rPr>
        <w:t xml:space="preserve">ВТО</w:t>
      </w:r>
      <w:r>
        <w:rPr>
          <w:rFonts w:ascii="Arial" w:cs="Arial" w:eastAsia="Arial" w:hAnsi="Arial"/>
          <w:sz w:val="24"/>
          <w:szCs w:val="24"/>
        </w:rPr>
        <w:t xml:space="preserve">	</w:t>
      </w:r>
      <w:r>
        <w:rPr>
          <w:rFonts w:ascii="Arial" w:cs="Arial" w:eastAsia="Arial" w:hAnsi="Arial"/>
          <w:sz w:val="24"/>
          <w:szCs w:val="24"/>
        </w:rPr>
        <w:t xml:space="preserve">Всемирная торговая организация</w:t>
      </w:r>
    </w:p>
    <w:p>
      <w:pPr>
        <w:tabs>
          <w:tab w:val="right" w:pos="10178"/>
        </w:tabs>
        <w:spacing w:after="120"/>
      </w:pPr>
      <w:r>
        <w:rPr>
          <w:rFonts w:ascii="Arial" w:cs="Arial" w:eastAsia="Arial" w:hAnsi="Arial"/>
          <w:b/>
          <w:bCs/>
          <w:sz w:val="24"/>
          <w:szCs w:val="24"/>
        </w:rPr>
        <w:t xml:space="preserve">ГСМ</w:t>
      </w:r>
      <w:r>
        <w:rPr>
          <w:rFonts w:ascii="Arial" w:cs="Arial" w:eastAsia="Arial" w:hAnsi="Arial"/>
          <w:sz w:val="24"/>
          <w:szCs w:val="24"/>
        </w:rPr>
        <w:t xml:space="preserve">	</w:t>
      </w:r>
      <w:r>
        <w:rPr>
          <w:rFonts w:ascii="Arial" w:cs="Arial" w:eastAsia="Arial" w:hAnsi="Arial"/>
          <w:sz w:val="24"/>
          <w:szCs w:val="24"/>
        </w:rPr>
        <w:t xml:space="preserve">Горюче-смазочные материалы</w:t>
      </w:r>
    </w:p>
    <w:p>
      <w:pPr>
        <w:tabs>
          <w:tab w:val="right" w:pos="10178"/>
        </w:tabs>
        <w:spacing w:after="120"/>
      </w:pPr>
      <w:r>
        <w:rPr>
          <w:rFonts w:ascii="Arial" w:cs="Arial" w:eastAsia="Arial" w:hAnsi="Arial"/>
          <w:b/>
          <w:bCs/>
          <w:sz w:val="24"/>
          <w:szCs w:val="24"/>
        </w:rPr>
        <w:t xml:space="preserve">ГЧП</w:t>
      </w:r>
      <w:r>
        <w:rPr>
          <w:rFonts w:ascii="Arial" w:cs="Arial" w:eastAsia="Arial" w:hAnsi="Arial"/>
          <w:sz w:val="24"/>
          <w:szCs w:val="24"/>
        </w:rPr>
        <w:t xml:space="preserve">	</w:t>
      </w:r>
      <w:r>
        <w:rPr>
          <w:rFonts w:ascii="Arial" w:cs="Arial" w:eastAsia="Arial" w:hAnsi="Arial"/>
          <w:sz w:val="24"/>
          <w:szCs w:val="24"/>
        </w:rPr>
        <w:t xml:space="preserve">Государственно-частное партнерство</w:t>
      </w:r>
    </w:p>
    <w:p>
      <w:pPr>
        <w:tabs>
          <w:tab w:val="right" w:pos="10178"/>
        </w:tabs>
        <w:spacing w:after="120"/>
      </w:pPr>
      <w:r>
        <w:rPr>
          <w:rFonts w:ascii="Arial" w:cs="Arial" w:eastAsia="Arial" w:hAnsi="Arial"/>
          <w:b/>
          <w:bCs/>
          <w:sz w:val="24"/>
          <w:szCs w:val="24"/>
        </w:rPr>
        <w:t xml:space="preserve">ЕАБР</w:t>
      </w:r>
      <w:r>
        <w:rPr>
          <w:rFonts w:ascii="Arial" w:cs="Arial" w:eastAsia="Arial" w:hAnsi="Arial"/>
          <w:sz w:val="24"/>
          <w:szCs w:val="24"/>
        </w:rPr>
        <w:t xml:space="preserve">	</w:t>
      </w:r>
      <w:r>
        <w:rPr>
          <w:rFonts w:ascii="Arial" w:cs="Arial" w:eastAsia="Arial" w:hAnsi="Arial"/>
          <w:sz w:val="24"/>
          <w:szCs w:val="24"/>
        </w:rPr>
        <w:t xml:space="preserve">Евразийский банк развития</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ЕБРР</w:t>
      </w:r>
      <w:r>
        <w:rPr>
          <w:rFonts w:ascii="Arial" w:cs="Arial" w:eastAsia="Arial" w:hAnsi="Arial"/>
          <w:sz w:val="24"/>
          <w:szCs w:val="24"/>
        </w:rPr>
        <w:t xml:space="preserve">	</w:t>
      </w:r>
      <w:r>
        <w:rPr>
          <w:rFonts w:ascii="Arial" w:cs="Arial" w:eastAsia="Arial" w:hAnsi="Arial"/>
          <w:sz w:val="24"/>
          <w:szCs w:val="24"/>
        </w:rPr>
        <w:t xml:space="preserve">Европейский банк реконструкции и развития</w:t>
      </w:r>
    </w:p>
    <w:p>
      <w:pPr>
        <w:tabs>
          <w:tab w:val="right" w:pos="10178"/>
        </w:tabs>
        <w:spacing w:after="120"/>
      </w:pPr>
      <w:r>
        <w:rPr>
          <w:rFonts w:ascii="Arial" w:cs="Arial" w:eastAsia="Arial" w:hAnsi="Arial"/>
          <w:b/>
          <w:bCs/>
          <w:sz w:val="24"/>
          <w:szCs w:val="24"/>
        </w:rPr>
        <w:t xml:space="preserve">ЕИБ</w:t>
      </w:r>
      <w:r>
        <w:rPr>
          <w:rFonts w:ascii="Arial" w:cs="Arial" w:eastAsia="Arial" w:hAnsi="Arial"/>
          <w:sz w:val="24"/>
          <w:szCs w:val="24"/>
        </w:rPr>
        <w:t xml:space="preserve">	</w:t>
      </w:r>
      <w:r>
        <w:rPr>
          <w:rFonts w:ascii="Arial" w:cs="Arial" w:eastAsia="Arial" w:hAnsi="Arial"/>
          <w:sz w:val="24"/>
          <w:szCs w:val="24"/>
        </w:rPr>
        <w:t xml:space="preserve">Европейский инвестиционный банк</w:t>
      </w:r>
    </w:p>
    <w:p>
      <w:pPr>
        <w:tabs>
          <w:tab w:val="right" w:pos="10178"/>
        </w:tabs>
        <w:spacing w:after="120"/>
      </w:pPr>
      <w:r>
        <w:rPr>
          <w:rFonts w:ascii="Arial" w:cs="Arial" w:eastAsia="Arial" w:hAnsi="Arial"/>
          <w:b/>
          <w:bCs/>
          <w:sz w:val="24"/>
          <w:szCs w:val="24"/>
        </w:rPr>
        <w:t xml:space="preserve">ЕС</w:t>
      </w:r>
      <w:r>
        <w:rPr>
          <w:rFonts w:ascii="Arial" w:cs="Arial" w:eastAsia="Arial" w:hAnsi="Arial"/>
          <w:sz w:val="24"/>
          <w:szCs w:val="24"/>
        </w:rPr>
        <w:t xml:space="preserve">	</w:t>
      </w:r>
      <w:r>
        <w:rPr>
          <w:rFonts w:ascii="Arial" w:cs="Arial" w:eastAsia="Arial" w:hAnsi="Arial"/>
          <w:sz w:val="24"/>
          <w:szCs w:val="24"/>
        </w:rPr>
        <w:t xml:space="preserve">Европейский союз</w:t>
      </w:r>
    </w:p>
    <w:p>
      <w:pPr>
        <w:tabs>
          <w:tab w:val="right" w:pos="10178"/>
        </w:tabs>
        <w:spacing w:after="120"/>
      </w:pPr>
      <w:r>
        <w:rPr>
          <w:rFonts w:ascii="Arial" w:cs="Arial" w:eastAsia="Arial" w:hAnsi="Arial"/>
          <w:b/>
          <w:bCs/>
          <w:sz w:val="24"/>
          <w:szCs w:val="24"/>
        </w:rPr>
        <w:t xml:space="preserve">ЗАО</w:t>
      </w:r>
      <w:r>
        <w:rPr>
          <w:rFonts w:ascii="Arial" w:cs="Arial" w:eastAsia="Arial" w:hAnsi="Arial"/>
          <w:sz w:val="24"/>
          <w:szCs w:val="24"/>
        </w:rPr>
        <w:t xml:space="preserve">	</w:t>
      </w:r>
      <w:r>
        <w:rPr>
          <w:rFonts w:ascii="Arial" w:cs="Arial" w:eastAsia="Arial" w:hAnsi="Arial"/>
          <w:sz w:val="24"/>
          <w:szCs w:val="24"/>
        </w:rPr>
        <w:t xml:space="preserve">закрытое акционерное общество</w:t>
      </w:r>
    </w:p>
    <w:p>
      <w:pPr>
        <w:tabs>
          <w:tab w:val="right" w:pos="10178"/>
        </w:tabs>
        <w:spacing w:after="120"/>
      </w:pPr>
      <w:r>
        <w:rPr>
          <w:rFonts w:ascii="Arial" w:cs="Arial" w:eastAsia="Arial" w:hAnsi="Arial"/>
          <w:b/>
          <w:bCs/>
          <w:sz w:val="24"/>
          <w:szCs w:val="24"/>
        </w:rPr>
        <w:t xml:space="preserve">ИБР</w:t>
      </w:r>
      <w:r>
        <w:rPr>
          <w:rFonts w:ascii="Arial" w:cs="Arial" w:eastAsia="Arial" w:hAnsi="Arial"/>
          <w:sz w:val="24"/>
          <w:szCs w:val="24"/>
        </w:rPr>
        <w:t xml:space="preserve">	</w:t>
      </w:r>
      <w:r>
        <w:rPr>
          <w:rFonts w:ascii="Arial" w:cs="Arial" w:eastAsia="Arial" w:hAnsi="Arial"/>
          <w:sz w:val="24"/>
          <w:szCs w:val="24"/>
        </w:rPr>
        <w:t xml:space="preserve">Исламский банк развития</w:t>
      </w:r>
    </w:p>
    <w:p>
      <w:pPr>
        <w:tabs>
          <w:tab w:val="right" w:pos="10178"/>
        </w:tabs>
        <w:spacing w:after="120"/>
      </w:pPr>
      <w:r>
        <w:rPr>
          <w:rFonts w:ascii="Arial" w:cs="Arial" w:eastAsia="Arial" w:hAnsi="Arial"/>
          <w:b/>
          <w:bCs/>
          <w:sz w:val="24"/>
          <w:szCs w:val="24"/>
        </w:rPr>
        <w:t xml:space="preserve">КНР</w:t>
      </w:r>
      <w:r>
        <w:rPr>
          <w:rFonts w:ascii="Arial" w:cs="Arial" w:eastAsia="Arial" w:hAnsi="Arial"/>
          <w:sz w:val="24"/>
          <w:szCs w:val="24"/>
        </w:rPr>
        <w:t xml:space="preserve">	</w:t>
      </w:r>
      <w:r>
        <w:rPr>
          <w:rFonts w:ascii="Arial" w:cs="Arial" w:eastAsia="Arial" w:hAnsi="Arial"/>
          <w:sz w:val="24"/>
          <w:szCs w:val="24"/>
        </w:rPr>
        <w:t xml:space="preserve">Китайская Народная Республика</w:t>
      </w:r>
    </w:p>
    <w:p>
      <w:pPr>
        <w:tabs>
          <w:tab w:val="right" w:pos="10178"/>
        </w:tabs>
        <w:spacing w:after="120"/>
      </w:pPr>
      <w:r>
        <w:rPr>
          <w:rFonts w:ascii="Arial" w:cs="Arial" w:eastAsia="Arial" w:hAnsi="Arial"/>
          <w:b/>
          <w:bCs/>
          <w:sz w:val="24"/>
          <w:szCs w:val="24"/>
        </w:rPr>
        <w:t xml:space="preserve">КФАЭР</w:t>
      </w:r>
      <w:r>
        <w:rPr>
          <w:rFonts w:ascii="Arial" w:cs="Arial" w:eastAsia="Arial" w:hAnsi="Arial"/>
          <w:sz w:val="24"/>
          <w:szCs w:val="24"/>
        </w:rPr>
        <w:t xml:space="preserve">	</w:t>
      </w:r>
      <w:r>
        <w:rPr>
          <w:rFonts w:ascii="Arial" w:cs="Arial" w:eastAsia="Arial" w:hAnsi="Arial"/>
          <w:sz w:val="24"/>
          <w:szCs w:val="24"/>
        </w:rPr>
        <w:t xml:space="preserve">Кувейтский фонд арабского экономического развития</w:t>
      </w:r>
    </w:p>
    <w:p>
      <w:pPr>
        <w:tabs>
          <w:tab w:val="right" w:pos="10178"/>
        </w:tabs>
        <w:spacing w:after="120"/>
      </w:pPr>
      <w:r>
        <w:rPr>
          <w:rFonts w:ascii="Arial" w:cs="Arial" w:eastAsia="Arial" w:hAnsi="Arial"/>
          <w:b/>
          <w:bCs/>
          <w:sz w:val="24"/>
          <w:szCs w:val="24"/>
        </w:rPr>
        <w:t xml:space="preserve">JICA</w:t>
      </w:r>
      <w:r>
        <w:rPr>
          <w:rFonts w:ascii="Arial" w:cs="Arial" w:eastAsia="Arial" w:hAnsi="Arial"/>
          <w:sz w:val="24"/>
          <w:szCs w:val="24"/>
        </w:rPr>
        <w:t xml:space="preserve">	</w:t>
      </w:r>
      <w:r>
        <w:rPr>
          <w:rFonts w:ascii="Arial" w:cs="Arial" w:eastAsia="Arial" w:hAnsi="Arial"/>
          <w:sz w:val="24"/>
          <w:szCs w:val="24"/>
        </w:rPr>
        <w:t xml:space="preserve">Японское агентство международного сотрудничества</w:t>
      </w:r>
    </w:p>
    <w:p>
      <w:pPr>
        <w:tabs>
          <w:tab w:val="right" w:pos="10178"/>
        </w:tabs>
        <w:spacing w:after="120"/>
      </w:pPr>
      <w:r>
        <w:rPr>
          <w:rFonts w:ascii="Arial" w:cs="Arial" w:eastAsia="Arial" w:hAnsi="Arial"/>
          <w:b/>
          <w:bCs/>
          <w:sz w:val="24"/>
          <w:szCs w:val="24"/>
        </w:rPr>
        <w:t xml:space="preserve">МВФ</w:t>
      </w:r>
      <w:r>
        <w:rPr>
          <w:rFonts w:ascii="Arial" w:cs="Arial" w:eastAsia="Arial" w:hAnsi="Arial"/>
          <w:sz w:val="24"/>
          <w:szCs w:val="24"/>
        </w:rPr>
        <w:t xml:space="preserve">	</w:t>
      </w:r>
      <w:r>
        <w:rPr>
          <w:rFonts w:ascii="Arial" w:cs="Arial" w:eastAsia="Arial" w:hAnsi="Arial"/>
          <w:sz w:val="24"/>
          <w:szCs w:val="24"/>
        </w:rPr>
        <w:t xml:space="preserve">Международный валютный фонд</w:t>
      </w:r>
    </w:p>
    <w:p>
      <w:pPr>
        <w:tabs>
          <w:tab w:val="right" w:pos="10178"/>
        </w:tabs>
        <w:spacing w:after="120"/>
      </w:pPr>
      <w:r>
        <w:rPr>
          <w:rFonts w:ascii="Arial" w:cs="Arial" w:eastAsia="Arial" w:hAnsi="Arial"/>
          <w:b/>
          <w:bCs/>
          <w:sz w:val="24"/>
          <w:szCs w:val="24"/>
        </w:rPr>
        <w:t xml:space="preserve">НБКР</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НПЗ</w:t>
      </w:r>
      <w:r>
        <w:rPr>
          <w:rFonts w:ascii="Arial" w:cs="Arial" w:eastAsia="Arial" w:hAnsi="Arial"/>
          <w:sz w:val="24"/>
          <w:szCs w:val="24"/>
        </w:rPr>
        <w:t xml:space="preserve">	</w:t>
      </w:r>
      <w:r>
        <w:rPr>
          <w:rFonts w:ascii="Arial" w:cs="Arial" w:eastAsia="Arial" w:hAnsi="Arial"/>
          <w:sz w:val="24"/>
          <w:szCs w:val="24"/>
        </w:rPr>
        <w:t xml:space="preserve">нефтеперерабатывающий завод</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ОПЕК</w:t>
      </w:r>
      <w:r>
        <w:rPr>
          <w:rFonts w:ascii="Arial" w:cs="Arial" w:eastAsia="Arial" w:hAnsi="Arial"/>
          <w:sz w:val="24"/>
          <w:szCs w:val="24"/>
        </w:rPr>
        <w:t xml:space="preserve">	</w:t>
      </w:r>
      <w:r>
        <w:rPr>
          <w:rFonts w:ascii="Arial" w:cs="Arial" w:eastAsia="Arial" w:hAnsi="Arial"/>
          <w:sz w:val="24"/>
          <w:szCs w:val="24"/>
        </w:rPr>
        <w:t xml:space="preserve">Организация стран - экспортеров нефти</w:t>
      </w:r>
    </w:p>
    <w:p>
      <w:pPr>
        <w:tabs>
          <w:tab w:val="right" w:pos="10178"/>
        </w:tabs>
        <w:spacing w:after="120"/>
      </w:pPr>
      <w:r>
        <w:rPr>
          <w:rFonts w:ascii="Arial" w:cs="Arial" w:eastAsia="Arial" w:hAnsi="Arial"/>
          <w:b/>
          <w:bCs/>
          <w:sz w:val="24"/>
          <w:szCs w:val="24"/>
        </w:rPr>
        <w:t xml:space="preserve">ОсОО</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w:t>
      </w:r>
    </w:p>
    <w:p>
      <w:pPr>
        <w:tabs>
          <w:tab w:val="right" w:pos="10178"/>
        </w:tabs>
        <w:spacing w:after="120"/>
      </w:pPr>
      <w:r>
        <w:rPr>
          <w:rFonts w:ascii="Arial" w:cs="Arial" w:eastAsia="Arial" w:hAnsi="Arial"/>
          <w:b/>
          <w:bCs/>
          <w:sz w:val="24"/>
          <w:szCs w:val="24"/>
        </w:rPr>
        <w:t xml:space="preserve">ПИИ</w:t>
      </w:r>
      <w:r>
        <w:rPr>
          <w:rFonts w:ascii="Arial" w:cs="Arial" w:eastAsia="Arial" w:hAnsi="Arial"/>
          <w:sz w:val="24"/>
          <w:szCs w:val="24"/>
        </w:rPr>
        <w:t xml:space="preserve">	</w:t>
      </w:r>
      <w:r>
        <w:rPr>
          <w:rFonts w:ascii="Arial" w:cs="Arial" w:eastAsia="Arial" w:hAnsi="Arial"/>
          <w:sz w:val="24"/>
          <w:szCs w:val="24"/>
        </w:rPr>
        <w:t xml:space="preserve">прямые иностранные инвестиции</w:t>
      </w:r>
    </w:p>
    <w:p>
      <w:pPr>
        <w:tabs>
          <w:tab w:val="right" w:pos="10178"/>
        </w:tabs>
        <w:spacing w:after="120"/>
      </w:pPr>
      <w:r>
        <w:rPr>
          <w:rFonts w:ascii="Arial" w:cs="Arial" w:eastAsia="Arial" w:hAnsi="Arial"/>
          <w:b/>
          <w:bCs/>
          <w:sz w:val="24"/>
          <w:szCs w:val="24"/>
        </w:rPr>
        <w:t xml:space="preserve">СФР</w:t>
      </w:r>
      <w:r>
        <w:rPr>
          <w:rFonts w:ascii="Arial" w:cs="Arial" w:eastAsia="Arial" w:hAnsi="Arial"/>
          <w:sz w:val="24"/>
          <w:szCs w:val="24"/>
        </w:rPr>
        <w:t xml:space="preserve">	</w:t>
      </w:r>
      <w:r>
        <w:rPr>
          <w:rFonts w:ascii="Arial" w:cs="Arial" w:eastAsia="Arial" w:hAnsi="Arial"/>
          <w:sz w:val="24"/>
          <w:szCs w:val="24"/>
        </w:rPr>
        <w:t xml:space="preserve">Саудовский фонд развития</w:t>
      </w:r>
    </w:p>
    <w:p>
      <w:pPr>
        <w:tabs>
          <w:tab w:val="right" w:pos="10178"/>
        </w:tabs>
        <w:spacing w:after="120"/>
      </w:pPr>
      <w:r>
        <w:rPr>
          <w:rFonts w:ascii="Arial" w:cs="Arial" w:eastAsia="Arial" w:hAnsi="Arial"/>
          <w:b/>
          <w:bCs/>
          <w:sz w:val="24"/>
          <w:szCs w:val="24"/>
        </w:rPr>
        <w:t xml:space="preserve">США</w:t>
      </w:r>
      <w:r>
        <w:rPr>
          <w:rFonts w:ascii="Arial" w:cs="Arial" w:eastAsia="Arial" w:hAnsi="Arial"/>
          <w:sz w:val="24"/>
          <w:szCs w:val="24"/>
        </w:rPr>
        <w:t xml:space="preserve">	</w:t>
      </w:r>
      <w:r>
        <w:rPr>
          <w:rFonts w:ascii="Arial" w:cs="Arial" w:eastAsia="Arial" w:hAnsi="Arial"/>
          <w:sz w:val="24"/>
          <w:szCs w:val="24"/>
        </w:rPr>
        <w:t xml:space="preserve">Соединенные Штаты Америки</w:t>
      </w:r>
    </w:p>
    <w:p>
      <w:pPr>
        <w:tabs>
          <w:tab w:val="right" w:pos="10178"/>
        </w:tabs>
        <w:spacing w:after="120"/>
      </w:pPr>
      <w:r>
        <w:rPr>
          <w:rFonts w:ascii="Arial" w:cs="Arial" w:eastAsia="Arial" w:hAnsi="Arial"/>
          <w:b/>
          <w:bCs/>
          <w:sz w:val="24"/>
          <w:szCs w:val="24"/>
        </w:rPr>
        <w:t xml:space="preserve">ФАО</w:t>
      </w:r>
      <w:r>
        <w:rPr>
          <w:rFonts w:ascii="Arial" w:cs="Arial" w:eastAsia="Arial" w:hAnsi="Arial"/>
          <w:sz w:val="24"/>
          <w:szCs w:val="24"/>
        </w:rPr>
        <w:t xml:space="preserve">	</w:t>
      </w:r>
      <w:r>
        <w:rPr>
          <w:rFonts w:ascii="Arial" w:cs="Arial" w:eastAsia="Arial" w:hAnsi="Arial"/>
          <w:sz w:val="24"/>
          <w:szCs w:val="24"/>
        </w:rPr>
        <w:t xml:space="preserve">Продовольственная и сельскохозяйственная организация ООН</w:t>
      </w:r>
    </w:p>
    <w:p>
      <w:pPr>
        <w:tabs>
          <w:tab w:val="right" w:pos="10178"/>
        </w:tabs>
        <w:spacing w:after="120"/>
      </w:pPr>
      <w:r>
        <w:rPr>
          <w:rFonts w:ascii="Arial" w:cs="Arial" w:eastAsia="Arial" w:hAnsi="Arial"/>
          <w:b/>
          <w:bCs/>
          <w:sz w:val="24"/>
          <w:szCs w:val="24"/>
        </w:rPr>
        <w:t xml:space="preserve">ФРС</w:t>
      </w:r>
      <w:r>
        <w:rPr>
          <w:rFonts w:ascii="Arial" w:cs="Arial" w:eastAsia="Arial" w:hAnsi="Arial"/>
          <w:sz w:val="24"/>
          <w:szCs w:val="24"/>
        </w:rPr>
        <w:t xml:space="preserve">	</w:t>
      </w:r>
      <w:r>
        <w:rPr>
          <w:rFonts w:ascii="Arial" w:cs="Arial" w:eastAsia="Arial" w:hAnsi="Arial"/>
          <w:sz w:val="24"/>
          <w:szCs w:val="24"/>
        </w:rPr>
        <w:t xml:space="preserve">Федеральная резервная система</w:t>
      </w:r>
    </w:p>
    <w:p>
      <w:pPr>
        <w:tabs>
          <w:tab w:val="right" w:pos="10178"/>
        </w:tabs>
        <w:spacing w:after="120"/>
      </w:pPr>
      <w:r>
        <w:rPr>
          <w:rFonts w:ascii="Arial" w:cs="Arial" w:eastAsia="Arial" w:hAnsi="Arial"/>
          <w:b/>
          <w:bCs/>
          <w:sz w:val="24"/>
          <w:szCs w:val="24"/>
        </w:rPr>
        <w:t xml:space="preserve">ФСХ</w:t>
      </w:r>
      <w:r>
        <w:rPr>
          <w:rFonts w:ascii="Arial" w:cs="Arial" w:eastAsia="Arial" w:hAnsi="Arial"/>
          <w:sz w:val="24"/>
          <w:szCs w:val="24"/>
        </w:rPr>
        <w:t xml:space="preserve">	</w:t>
      </w:r>
      <w:r>
        <w:rPr>
          <w:rFonts w:ascii="Arial" w:cs="Arial" w:eastAsia="Arial" w:hAnsi="Arial"/>
          <w:sz w:val="24"/>
          <w:szCs w:val="24"/>
        </w:rPr>
        <w:t xml:space="preserve">финансирование сельского хозяйства</w:t>
      </w:r>
    </w:p>
    <w:p>
      <w:pPr>
        <w:tabs>
          <w:tab w:val="right" w:pos="10178"/>
        </w:tabs>
        <w:spacing w:after="120"/>
      </w:pPr>
      <w:r>
        <w:rPr>
          <w:rFonts w:ascii="Arial" w:cs="Arial" w:eastAsia="Arial" w:hAnsi="Arial"/>
          <w:b/>
          <w:bCs/>
          <w:sz w:val="24"/>
          <w:szCs w:val="24"/>
        </w:rPr>
        <w:t xml:space="preserve">ЦАРЭС</w:t>
      </w:r>
      <w:r>
        <w:rPr>
          <w:rFonts w:ascii="Arial" w:cs="Arial" w:eastAsia="Arial" w:hAnsi="Arial"/>
          <w:sz w:val="24"/>
          <w:szCs w:val="24"/>
        </w:rPr>
        <w:t xml:space="preserve">	</w:t>
      </w:r>
      <w:r>
        <w:rPr>
          <w:rFonts w:ascii="Arial" w:cs="Arial" w:eastAsia="Arial" w:hAnsi="Arial"/>
          <w:sz w:val="24"/>
          <w:szCs w:val="24"/>
        </w:rPr>
        <w:t xml:space="preserve">Программа Центрально-Азиатского регионального экономического сотрудничества</w:t>
      </w:r>
    </w:p>
    <w:p>
      <w:pPr>
        <w:tabs>
          <w:tab w:val="right" w:pos="10178"/>
        </w:tabs>
        <w:spacing w:after="120"/>
      </w:pPr>
      <w:r>
        <w:rPr>
          <w:rFonts w:ascii="Arial" w:cs="Arial" w:eastAsia="Arial" w:hAnsi="Arial"/>
          <w:b/>
          <w:bCs/>
          <w:sz w:val="24"/>
          <w:szCs w:val="24"/>
        </w:rPr>
        <w:t xml:space="preserve">COVID-19</w:t>
      </w:r>
      <w:r>
        <w:rPr>
          <w:rFonts w:ascii="Arial" w:cs="Arial" w:eastAsia="Arial" w:hAnsi="Arial"/>
          <w:sz w:val="24"/>
          <w:szCs w:val="24"/>
        </w:rPr>
        <w:t xml:space="preserve">	</w:t>
      </w:r>
      <w:r>
        <w:rPr>
          <w:rFonts w:ascii="Arial" w:cs="Arial" w:eastAsia="Arial" w:hAnsi="Arial"/>
          <w:sz w:val="24"/>
          <w:szCs w:val="24"/>
        </w:rPr>
        <w:t xml:space="preserve">Corona Virus Disease 2019 - коронавирусная инфекция 2019 года</w:t>
      </w:r>
    </w:p>
    <w:p>
      <w:pPr>
        <w:spacing w:after="60" w:before="120"/>
        <w:ind w:firstLine="567"/>
        <w:jc w:val="both"/>
      </w:pPr>
      <w:r>
        <w:rPr>
          <w:rFonts w:ascii="Arial" w:cs="Arial" w:eastAsia="Arial" w:hAnsi="Arial"/>
          <w:sz w:val="24"/>
          <w:szCs w:val="24"/>
        </w:rPr>
        <w:t xml:space="preserve">(1) Темпы прироста приведены по ВДС.</w:t>
      </w:r>
    </w:p>
    <w:p>
      <w:pPr>
        <w:spacing w:after="60"/>
        <w:ind w:firstLine="567"/>
        <w:jc w:val="both"/>
      </w:pPr>
      <w:r>
        <w:rPr>
          <w:rFonts w:ascii="Arial" w:cs="Arial" w:eastAsia="Arial" w:hAnsi="Arial"/>
          <w:sz w:val="24"/>
          <w:szCs w:val="24"/>
        </w:rPr>
        <w:t xml:space="preserve">(2) Оценка управления энергетической информации Минэнерго США (EIA).</w:t>
      </w:r>
    </w:p>
    <w:p>
      <w:pPr>
        <w:spacing w:after="60"/>
        <w:ind w:firstLine="567"/>
        <w:jc w:val="both"/>
      </w:pPr>
      <w:r>
        <w:rPr>
          <w:rFonts w:ascii="Arial" w:cs="Arial" w:eastAsia="Arial" w:hAnsi="Arial"/>
          <w:sz w:val="24"/>
          <w:szCs w:val="24"/>
        </w:rPr>
        <w:t xml:space="preserve">(3)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Основные социально-экономические показатели
 развития Кыргызской Республики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4"/>
        <w:gridCol w:w="1266"/>
        <w:gridCol w:w="674"/>
        <w:gridCol w:w="674"/>
        <w:gridCol w:w="674"/>
        <w:gridCol w:w="704"/>
        <w:gridCol w:w="704"/>
        <w:gridCol w:w="704"/>
        <w:gridCol w:w="704"/>
      </w:tblGrid>
      <w:tr>
        <w:tc>
          <w:tcPr>
            <w:tcW w:type="dxa" w:w="40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Производство ВВП</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Номинальный ВВП</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w:t>
            </w:r>
            <w:r>
              <w:rPr>
                <w:rFonts w:ascii="Arial" w:cs="Arial" w:eastAsia="Arial" w:hAnsi="Arial"/>
                <w:b/>
                <w:bCs/>
                <w:sz w:val="24"/>
                <w:szCs w:val="24"/>
              </w:rPr>
              <w:t xml:space="preserve">.</w:t>
            </w:r>
            <w:r>
              <w:rPr>
                <w:rFonts w:ascii="Arial" w:cs="Arial" w:eastAsia="Arial" w:hAnsi="Arial"/>
                <w:b/>
                <w:bCs/>
                <w:sz w:val="24"/>
                <w:szCs w:val="24"/>
              </w:rPr>
              <w:t xml:space="preserve">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723122,2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824948,9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926980,6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1021904,4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1127484,8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1239524,3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1335823,5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Добавленная стоимость</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132661,7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148296,5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165179,9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179457,7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194543,3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202497,4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187103,5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106170,3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120029,0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128827,1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139212,4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152565,7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165939,9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178632,7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60328,8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67747,7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77072,0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86932,8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96664,2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109305,4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123404,6</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326878,0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378522,4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432197,5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480049,9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533586,5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596796,5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667340,5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97083,4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110353,2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123704,1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136251,6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150125,1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164985,1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179342,1</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667671,8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761890,8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856151,8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946064,2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1050221,4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1163370,2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1287932,3</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году(1)</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году(1)</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Использование ВВП(1)</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735458,0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866790,8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972542,7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1059086,9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1157302,1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1270382,7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1391319,8</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606413,2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722758,3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813371,8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887705,1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972590,3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1074495,8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1183194,5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129044,8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144032,6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159171,0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171381,8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184711,8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195886,9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208125,3</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r>
              <w:rPr>
                <w:rFonts w:ascii="Arial" w:cs="Arial" w:eastAsia="Arial" w:hAnsi="Arial"/>
                <w:sz w:val="24"/>
                <w:szCs w:val="24"/>
              </w:rPr>
              <w:t xml:space="preserve">(2)</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197358,9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226581,8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260859,1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301164,0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349003,9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400271,5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456047,7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37778,9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46764,7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36553,2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37752,9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38994,9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40280,7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18859,6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35697,5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44426,5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34725,5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35865,3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37045,2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38266,7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177857,1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188803,0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214094,4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264610,8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311251,0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361276,6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415767,0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-209694,7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-268423,8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-306421,3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-338346,5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-378821,2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-431129,9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-511544,0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286615,5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332107,1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369993,9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405970,6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438658,6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472628,3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498857,7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496310,2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600530,9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676415,2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744317,1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817479,7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903758,2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1010401,7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Социальные показатели</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1473,9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1808,7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r>
              <w:rPr>
                <w:rFonts w:ascii="Arial" w:cs="Arial" w:eastAsia="Arial" w:hAnsi="Arial"/>
                <w:sz w:val="24"/>
                <w:szCs w:val="24"/>
              </w:rPr>
              <w:t xml:space="preserve">(3)</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541755,0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638195,7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722829,9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799074,3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873349,6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948731,9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1018399,9</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6268,3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7158,4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7838,5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8379,3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8848,6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9598,0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8803,9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9411,3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9938,4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10405,5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10780,1</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6372,8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6978,2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7459,7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7877,4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8247,6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8544,6</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6436,9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6546,3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6662,6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6782,5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7050,4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7192,2</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19330,0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24966,1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27204,6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29331,4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31675,6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34012,1</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пенсий(4)</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6157,0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7024,9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7489,4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7885,8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8563,9</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соответствующему периоду предыдущего года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 Трудовые ресурсы</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2680,5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2805,7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2842,2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2876,3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2910,8</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2537,9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2582,8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2622,1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2697,0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2729,4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2763,8</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том числе по отраслям:</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400,2</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506,1</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343,5</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1393,9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1457,5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bl>
    <w:p>
      <w:pPr>
        <w:spacing w:after="6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2021 год.</w:t>
      </w:r>
    </w:p>
    <w:p>
      <w:pPr>
        <w:spacing w:after="60"/>
        <w:ind w:firstLine="567"/>
        <w:jc w:val="both"/>
      </w:pPr>
      <w:r>
        <w:rPr>
          <w:rFonts w:ascii="Arial" w:cs="Arial" w:eastAsia="Arial" w:hAnsi="Arial"/>
          <w:sz w:val="24"/>
          <w:szCs w:val="24"/>
        </w:rPr>
        <w:t xml:space="preserve">(2) По методике Международного валютного фонда.</w:t>
      </w:r>
    </w:p>
    <w:p>
      <w:pPr>
        <w:spacing w:after="60"/>
        <w:ind w:firstLine="567"/>
        <w:jc w:val="both"/>
      </w:pPr>
      <w:r>
        <w:rPr>
          <w:rFonts w:ascii="Arial" w:cs="Arial" w:eastAsia="Arial" w:hAnsi="Arial"/>
          <w:sz w:val="24"/>
          <w:szCs w:val="24"/>
        </w:rPr>
        <w:t xml:space="preserve">(3) Оценка Министерства экономики и коммерции Кыргызской Республики за 2021 год.</w:t>
      </w:r>
    </w:p>
    <w:p>
      <w:pPr>
        <w:spacing w:after="60"/>
        <w:ind w:firstLine="567"/>
        <w:jc w:val="both"/>
      </w:pPr>
      <w:r>
        <w:rPr>
          <w:rFonts w:ascii="Arial" w:cs="Arial" w:eastAsia="Arial" w:hAnsi="Arial"/>
          <w:sz w:val="24"/>
          <w:szCs w:val="24"/>
        </w:rPr>
        <w:t xml:space="preserve">(4) Данные Социального фонда Кыргызской Республики при Кабинете Министров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СТРУКТУРА
 производства и конечного использования ВВП Кыргызской Республики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78"/>
        <w:gridCol w:w="700"/>
        <w:gridCol w:w="700"/>
        <w:gridCol w:w="700"/>
        <w:gridCol w:w="700"/>
        <w:gridCol w:w="700"/>
        <w:gridCol w:w="700"/>
        <w:gridCol w:w="698"/>
      </w:tblGrid>
      <w:tr>
        <w:tc>
          <w:tcPr>
            <w:tcW w:type="dxa" w:w="52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r>
      <w:tr>
        <w:tc>
          <w:tcPr>
            <w:vMerge w:val="continue"/>
            <w:tcBorders>
              <w:top w:val="single" w:color="CBBF9E" w:sz="4"/>
              <w:left w:val="single" w:color="CBBF9E" w:sz="4"/>
              <w:bottom w:val="single" w:color="CBBF9E" w:sz="4"/>
              <w:right w:val="single" w:color="CBBF9E" w:sz="4"/>
            </w:tcBorders>
          </w:tcP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Национальные счета (% от ВВП)</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Производство ВВП</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Использование ВВП</w:t>
            </w:r>
            <w:r>
              <w:rPr>
                <w:rFonts w:ascii="Arial" w:cs="Arial" w:eastAsia="Arial" w:hAnsi="Arial"/>
                <w:b/>
                <w:bCs/>
                <w:sz w:val="24"/>
                <w:szCs w:val="24"/>
              </w:rPr>
              <w:t xml:space="preserve">(1)</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r>
      <w:tr>
        <w:tc>
          <w:tcPr>
            <w:tcW w:type="dxa" w:w="5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72,9</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 методике Международного валютного фонда</w:t>
            </w:r>
          </w:p>
        </w:tc>
      </w:tr>
    </w:tbl>
    <w:p>
      <w:pPr>
        <w:spacing w:after="6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2021 год, на 2022-2027 годы.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Валовая продукция и темпы роста в отраслях Кыргызской Республики, формирующих ВВП,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3"/>
        <w:gridCol w:w="668"/>
        <w:gridCol w:w="668"/>
        <w:gridCol w:w="668"/>
        <w:gridCol w:w="668"/>
        <w:gridCol w:w="668"/>
        <w:gridCol w:w="668"/>
        <w:gridCol w:w="758"/>
      </w:tblGrid>
      <w:tr>
        <w:tc>
          <w:tcPr>
            <w:tcW w:type="dxa" w:w="54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r>
      <w:tr>
        <w:tc>
          <w:tcPr>
            <w:vMerge w:val="continue"/>
            <w:tcBorders>
              <w:top w:val="single" w:color="CBBF9E" w:sz="4"/>
              <w:left w:val="single" w:color="CBBF9E" w:sz="4"/>
              <w:bottom w:val="single" w:color="CBBF9E" w:sz="4"/>
              <w:right w:val="single" w:color="CBBF9E" w:sz="4"/>
            </w:tcBorders>
          </w:tcP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324283,1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366612,8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393485,3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425205,8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465991,8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506841,4</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545609,8</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Промышленность(1),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357569,4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399710,7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445217,2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483700,8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524361,8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545800,9</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504309,0</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Промышленность(2),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357176,5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398609,3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443882,0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481329,4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520469,7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539533,7</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494906,4</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32798,5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36318,5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40751,6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44657,0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48698,0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51798,1</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58832,2</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278764,8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314133,0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351416,5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381378,3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411826,9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424313,2</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367701,1</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41516,9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43794,2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47085,6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50325,6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54581,5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57752,4</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62254,4</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4096,2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4363,6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4628,3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4968,4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5363,4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5670,0</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6118,7</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197696,5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217248,7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240172,4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263206,8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298253,6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320508,2</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357167,2</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Строительство</w:t>
            </w:r>
            <w:r>
              <w:rPr>
                <w:rFonts w:ascii="Arial" w:cs="Arial" w:eastAsia="Arial" w:hAnsi="Arial"/>
                <w:sz w:val="24"/>
                <w:szCs w:val="24"/>
              </w:rPr>
              <w:t xml:space="preserve">,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146964,1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165037,0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187751,4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211772,9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235479,1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266273,7</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539153,7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624336,2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712868,1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791796,0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880099,4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984358,2</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1100713,8</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199847,8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247373,9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303392,1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349971,7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402552,1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466836,4</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539423,7</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49696,1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56939,8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66107,3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74628,6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84600,8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95675,0</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108288,8</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21079,1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25922,2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30403,7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34032,7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37694,6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41946,5</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46678,1</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32163,6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33297,4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34914,3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36752,2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38761,8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40881,3</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43116,7</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5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bl>
    <w:p>
      <w:pPr>
        <w:spacing w:after="60" w:before="120"/>
        <w:ind w:firstLine="567"/>
        <w:jc w:val="both"/>
      </w:pPr>
      <w:r>
        <w:rPr>
          <w:rFonts w:ascii="Arial" w:cs="Arial" w:eastAsia="Arial" w:hAnsi="Arial"/>
          <w:sz w:val="24"/>
          <w:szCs w:val="24"/>
        </w:rPr>
        <w:t xml:space="preserve">(1)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(2)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развития сельского хозяйства, лесного хозяйства и рыболовства Кыргызской Республики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0"/>
        <w:gridCol w:w="784"/>
        <w:gridCol w:w="784"/>
        <w:gridCol w:w="784"/>
        <w:gridCol w:w="784"/>
        <w:gridCol w:w="784"/>
        <w:gridCol w:w="784"/>
        <w:gridCol w:w="784"/>
      </w:tblGrid>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w:t>
            </w:r>
            <w:r>
              <w:rPr>
                <w:rFonts w:ascii="Arial" w:cs="Arial" w:eastAsia="Arial" w:hAnsi="Arial"/>
                <w:sz w:val="24"/>
                <w:szCs w:val="24"/>
              </w:rPr>
              <w:t xml:space="preserve">,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324283,1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366612,8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393485,3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425205,8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465991,8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506841,4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545609,8</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Растениеводство</w:t>
            </w:r>
            <w:r>
              <w:rPr>
                <w:rFonts w:ascii="Arial" w:cs="Arial" w:eastAsia="Arial" w:hAnsi="Arial"/>
                <w:sz w:val="24"/>
                <w:szCs w:val="24"/>
              </w:rPr>
              <w:t xml:space="preserve">,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172283,2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194134,8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211502,3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233232,6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261029,2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286292,2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306251,7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 (в весе после доработки),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42412,0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54811,0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61423,4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64811,6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69465,6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74836,0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80941,0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1858,0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2073,6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1547,8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2117,5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3689,7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3897,8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4133,9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4394,5</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6579,1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6865,5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7474,5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7916,2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8231,4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9059,8</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1598,3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1962,3</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32668,4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38724,0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42195,2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45955,1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49911,8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54294,2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59075,0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1289,1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1339,8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52030,3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52182,0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53105,0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54281,3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56182,5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58765,0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62010,0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4953,0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5376,0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14718,3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16271,4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17015,8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18370,8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19876,6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21563,5</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786,1</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растениеводство</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21341,2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32850,7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47866,7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58161,6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60979,7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Животноводство,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144560,5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165038,5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174472,1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184354,2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197197,4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212597,4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231176,9</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93514,8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97125,0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102741,0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108647,0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116725,0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126696,5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138915,0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42180,0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58850,3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62223,0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65716,4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69971,3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74853,0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80729,0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1737,9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1865,9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1969,0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4956,6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5408,9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5684,3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5984,9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6688,7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344,2</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3614,9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3615,0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(с учетом вычета коммунальных услуг),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6196,6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6196,6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6258,6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6479,5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6840,7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Лесное хозяйство,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295,4</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Рыбоводство, рыболовство, млн. сомов</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938,9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938,9</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948,3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981,7</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1 006,3</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1 036,5</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развития промышленности Кыргызской Республики на 2023-2027 годы, с учетом стоимости переработки давальческого сырья, но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9"/>
        <w:gridCol w:w="637"/>
        <w:gridCol w:w="637"/>
        <w:gridCol w:w="637"/>
        <w:gridCol w:w="637"/>
        <w:gridCol w:w="637"/>
        <w:gridCol w:w="637"/>
        <w:gridCol w:w="637"/>
      </w:tblGrid>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w:t>
            </w:r>
            <w:r>
              <w:rPr>
                <w:rFonts w:ascii="Arial" w:cs="Arial" w:eastAsia="Arial" w:hAnsi="Arial"/>
                <w:sz w:val="24"/>
                <w:szCs w:val="24"/>
              </w:rPr>
              <w:t xml:space="preserve">, </w:t>
            </w:r>
            <w:r>
              <w:rPr>
                <w:rFonts w:ascii="Arial" w:cs="Arial" w:eastAsia="Arial" w:hAnsi="Arial"/>
                <w:b/>
                <w:bCs/>
                <w:sz w:val="24"/>
                <w:szCs w:val="24"/>
              </w:rPr>
              <w:t xml:space="preserve">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357569,4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399710,7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445217,1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483700,8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524361,8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545800,9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504309,0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w:t>
            </w:r>
            <w:r>
              <w:rPr>
                <w:rFonts w:ascii="Arial" w:cs="Arial" w:eastAsia="Arial" w:hAnsi="Arial"/>
                <w:sz w:val="24"/>
                <w:szCs w:val="24"/>
              </w:rPr>
              <w:t xml:space="preserve">, </w:t>
            </w:r>
            <w:r>
              <w:rPr>
                <w:rFonts w:ascii="Arial" w:cs="Arial" w:eastAsia="Arial" w:hAnsi="Arial"/>
                <w:b/>
                <w:bCs/>
                <w:sz w:val="24"/>
                <w:szCs w:val="24"/>
              </w:rPr>
              <w:t xml:space="preserve">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198089,4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218350,1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241507,5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265578,1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302145,7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326775,4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366569,8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32798,5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36318,5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40751,6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44657,0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48698,0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51798,1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58832,2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7880,8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11301,9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12472,2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20418,1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25444,6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28618,6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31304,8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33305,8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37527,9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292628,8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330017,9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368749,5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400918,1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434373,5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450239,1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398363,8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табачных изделий,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50822,0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56135,0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60956,7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66899,8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74537,4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93451,9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10335,2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11286,1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14338,3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16568,3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3485,4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9930,9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14620,3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18232,7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22614,8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28705,1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26649,1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29380,9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31451,0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37313,7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43040,8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186285,5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217829,2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246714,9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267344,4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285545,1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285489,6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207770,4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2654,6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4038,8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28045,9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29010,7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31087,7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33157,2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35927,0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38093,7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40994,3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4096,2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4363,6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4628,3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4968,4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5363,4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5670,0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6118,7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развития промышленности Кыргызской Республики на 2023-2027 годы, без учета стоимости переработки давальческого сырья, но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9"/>
        <w:gridCol w:w="637"/>
        <w:gridCol w:w="637"/>
        <w:gridCol w:w="637"/>
        <w:gridCol w:w="637"/>
        <w:gridCol w:w="637"/>
        <w:gridCol w:w="637"/>
        <w:gridCol w:w="637"/>
      </w:tblGrid>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w:t>
            </w:r>
            <w:r>
              <w:rPr>
                <w:rFonts w:ascii="Arial" w:cs="Arial" w:eastAsia="Arial" w:hAnsi="Arial"/>
                <w:sz w:val="24"/>
                <w:szCs w:val="24"/>
              </w:rPr>
              <w:t xml:space="preserve">, </w:t>
            </w:r>
            <w:r>
              <w:rPr>
                <w:rFonts w:ascii="Arial" w:cs="Arial" w:eastAsia="Arial" w:hAnsi="Arial"/>
                <w:b/>
                <w:bCs/>
                <w:sz w:val="24"/>
                <w:szCs w:val="24"/>
              </w:rPr>
              <w:t xml:space="preserve">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357176,5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398609,3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443882,0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481329,4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520469,7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539533,7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494906,4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w:t>
            </w:r>
            <w:r>
              <w:rPr>
                <w:rFonts w:ascii="Arial" w:cs="Arial" w:eastAsia="Arial" w:hAnsi="Arial"/>
                <w:sz w:val="24"/>
                <w:szCs w:val="24"/>
              </w:rPr>
              <w:t xml:space="preserve">, </w:t>
            </w:r>
            <w:r>
              <w:rPr>
                <w:rFonts w:ascii="Arial" w:cs="Arial" w:eastAsia="Arial" w:hAnsi="Arial"/>
                <w:b/>
                <w:bCs/>
                <w:sz w:val="24"/>
                <w:szCs w:val="24"/>
              </w:rPr>
              <w:t xml:space="preserve">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197696,5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217248,7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240172,4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263206,8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298253,6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320508,2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357167,2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32798,5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36318,5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40751,6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44657,0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48698,0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51798,1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58832,2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7880,8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11301,9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12472,2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20418,1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25444,6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28618,6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31304,8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33305,8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37527,9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278764,8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314133,0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351416,5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381378,3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411826,9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424313,2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367701,1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табачных изделий,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42897,8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47382,4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51452,4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56468,8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62915,5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68795,1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78880,9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7346,4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9046,7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13280,8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3150,4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8269,5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10257,0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28702,9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26647,0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29378,6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31448,5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34210,9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37310,8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43037,4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186285,5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217829,2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246714,9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267344,4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285545,1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285489,6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207770,4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1852,9</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2654,6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3549,7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3747,4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41516,9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43794,2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47085,6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50325,6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54581,5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57752,4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62254,4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4096,2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4363,6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4628,3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4968,4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5363,4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5670,0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6118,7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производства натуральных видов продукции промышленности Кыргызской Республики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6"/>
        <w:gridCol w:w="633"/>
        <w:gridCol w:w="635"/>
        <w:gridCol w:w="635"/>
        <w:gridCol w:w="635"/>
        <w:gridCol w:w="635"/>
        <w:gridCol w:w="635"/>
        <w:gridCol w:w="635"/>
      </w:tblGrid>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2989,9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3792,0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м</w:t>
            </w:r>
            <w:r>
              <w:rPr>
                <w:rFonts w:ascii="Arial" w:cs="Arial" w:eastAsia="Arial" w:hAnsi="Arial"/>
                <w:sz w:val="24"/>
                <w:szCs w:val="24"/>
              </w:rPr>
              <w:t xml:space="preserve">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Руды и концентраты золотосодержащие,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52824,9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65225,0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Обрабатывающие производства</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526,4</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2099,6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2238,7</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5297,5</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16784,1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17035,8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17291,4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17550,7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17814,0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 плодово-ягодные, тыс. дал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Коньяки, тыс. дал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тыс. дал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Виноматериалы, тыс. дал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7346,4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7643,2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13280,8</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тыс.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 </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млн. шт.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Моторное топливо, тыс.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Обеспечение (снабжение) электроэнергией, газом, паром и кондиционированным воздухом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кВт.ч</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15134,7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14815,5</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тыс. Гкал</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развития сферы услуг в Кыргызской Республике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2"/>
        <w:gridCol w:w="637"/>
        <w:gridCol w:w="637"/>
        <w:gridCol w:w="637"/>
        <w:gridCol w:w="637"/>
        <w:gridCol w:w="637"/>
        <w:gridCol w:w="637"/>
        <w:gridCol w:w="704"/>
      </w:tblGrid>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539153,7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624336,2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712868,1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791796,0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880099,4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984358,2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1100713,8</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199847,8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247373,9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303392,1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349971,7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402552,1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466836,4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539423,7</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Транспортная деятельность и хранение грузов,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49696,1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56939,8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66107,3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74628,6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84600,8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95675,0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108288,8</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21079,1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25922,2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30403,7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34032,7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37694,6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41946,5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46678,1</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32163,6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33297,4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34914,3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36752,2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38761,8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40881,3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43116,7</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Финансовое посредничество и страхование,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35831,9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37637,8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40121,9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42978,6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46128,1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49508,3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53136,3</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Операции с недвижимым имуществом,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26761,3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28339,1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30784,8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33132,2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35832,4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38752,8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41911,1</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Профессиональная, научная и техническая деятельность,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15583,9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16920,2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18189,4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19354,8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21079,7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21999,0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Административная и вспомогательная деятельность,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3504,3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r>
              <w:rPr>
                <w:rFonts w:ascii="Arial" w:cs="Arial" w:eastAsia="Arial" w:hAnsi="Arial"/>
                <w:b/>
                <w:bCs/>
                <w:sz w:val="24"/>
                <w:szCs w:val="24"/>
              </w:rPr>
              <w:t xml:space="preserve">7</w:t>
            </w:r>
            <w:r>
              <w:rPr>
                <w:rFonts w:ascii="Arial" w:cs="Arial" w:eastAsia="Arial" w:hAnsi="Arial"/>
                <w:b/>
                <w:bCs/>
                <w:sz w:val="24"/>
                <w:szCs w:val="24"/>
              </w:rPr>
              <w:t xml:space="preserve">78,2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3930,4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4088,8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4253,6</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управление и оборона; обязательное социальное обеспечение,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57185,6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64619,7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67098,5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70711,2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74590,8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78988,4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83645,4</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52186,9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61314,9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66367,2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71434,4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77261,6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83968,0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91256,4</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 и социальное обслуживание населения,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29719,7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31877,9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34409,1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36575,4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38991,3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41768,4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44743,4</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Искусство, развлечения и отдых,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4364,1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4757,3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5021,8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5327,1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5706,4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6172,0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6675,6</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Прочая обслуживающая деятельность,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11229,4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11827,7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12426,2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13119,0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13850,4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14692,5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15585,8</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объема оказанных рыночных услуг в Кыргызской Республике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7"/>
        <w:gridCol w:w="637"/>
        <w:gridCol w:w="704"/>
        <w:gridCol w:w="704"/>
        <w:gridCol w:w="704"/>
        <w:gridCol w:w="704"/>
        <w:gridCol w:w="704"/>
        <w:gridCol w:w="704"/>
      </w:tblGrid>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858736,1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1037731,3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1242156,9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1412105,0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1602388,5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1832648,6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2090620,0</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Оборот оптовой и розничной торговли; ремонта автомобилей и мотоциклов,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689301,5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849428,7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1037103,9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1190767,8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1363288,3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1573666,4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1809890,7</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20791,3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25476,2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29770,2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33197,7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36630,2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40607,6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45017,0</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30176,5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31240,2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32757,2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34481,6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36367,0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38355,6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40452,9</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118466,8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131586,2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142525,5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153657,8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166103,0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180019,0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195259,5</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5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объема инвестиций в основной капитал в Кыргызской Республике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9"/>
        <w:gridCol w:w="637"/>
        <w:gridCol w:w="637"/>
        <w:gridCol w:w="637"/>
        <w:gridCol w:w="637"/>
        <w:gridCol w:w="637"/>
        <w:gridCol w:w="637"/>
        <w:gridCol w:w="637"/>
      </w:tblGrid>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Инвестиции в основной капитал,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122260,6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139234,0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156464,8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178955,4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198793,4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223974,0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255129,3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Внутренние инвестиции,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97995,3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101358,1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116274,7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133141,7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147300,0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164944,7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185738,3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4426,1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9500,0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2205,2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2771,4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3189,3</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45847,1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48875,4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56158,7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62483,2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69548,3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79087,1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88683,4</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1945,7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2175,7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2333,1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2712,1</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Средства населения и благотворительная помощь резидентов Кыргызской Республики,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44504,0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45747,8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52123,2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59777,6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64944,0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72053,3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81653,5</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Внешние инвестиции,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24265,3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37875,9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40190,1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45813,7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51493,4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59029,3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69391,0</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кредиты,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15984,9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18878,4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22094,1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28387,1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32111,3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37558,3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45338,2</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2829,6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12939,4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10319,6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11921,7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15359,6</w:t>
            </w:r>
          </w:p>
        </w:tc>
      </w:tr>
      <w:tr>
        <w:tc>
          <w:tcPr>
            <w:tcW w:type="dxa" w:w="5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 млн. сомов</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5450,8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7460,4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8693,2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экспорта и импорта товаров в Кыргызской Республике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4"/>
        <w:gridCol w:w="1702"/>
        <w:gridCol w:w="810"/>
        <w:gridCol w:w="810"/>
        <w:gridCol w:w="810"/>
        <w:gridCol w:w="810"/>
        <w:gridCol w:w="810"/>
        <w:gridCol w:w="810"/>
        <w:gridCol w:w="810"/>
      </w:tblGrid>
      <w:tr>
        <w:tc>
          <w:tcPr>
            <w:tcW w:type="dxa" w:w="280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2752,2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r>
      <w:tr>
        <w:tc>
          <w:tcPr>
            <w:tcW w:type="dxa" w:w="2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5580,2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r>
      <w:tr>
        <w:tc>
          <w:tcPr>
            <w:tcW w:type="dxa" w:w="2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2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 и импорта товаров</w:t>
            </w:r>
          </w:p>
        </w:tc>
        <w:tc>
          <w:tcPr>
            <w:tcW w:type="dxa" w:w="1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-6700,0</w:t>
            </w:r>
          </w:p>
        </w:tc>
      </w:tr>
      <w:tr>
        <w:tc>
          <w:tcPr>
            <w:tcW w:type="dxa" w:w="2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190,9</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2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8332,4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11300</w:t>
            </w:r>
          </w:p>
        </w:tc>
      </w:tr>
      <w:tr>
        <w:tc>
          <w:tcPr>
            <w:tcW w:type="dxa" w:w="2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ПРОГНОЗ
 экспорта основных видов продукции из Кыргызской Республики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2"/>
        <w:gridCol w:w="1578"/>
        <w:gridCol w:w="753"/>
        <w:gridCol w:w="753"/>
        <w:gridCol w:w="753"/>
        <w:gridCol w:w="753"/>
        <w:gridCol w:w="753"/>
        <w:gridCol w:w="753"/>
        <w:gridCol w:w="753"/>
      </w:tblGrid>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2752,2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208,3</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Стекло листовое</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304,9</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290,1</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w:t>
            </w:r>
            <w:r>
              <w:rPr>
                <w:rFonts w:ascii="Arial" w:cs="Arial" w:eastAsia="Arial" w:hAnsi="Arial"/>
                <w:sz w:val="24"/>
                <w:szCs w:val="24"/>
              </w:rPr>
              <w:t xml:space="preserve">-</w:t>
            </w:r>
            <w:r>
              <w:rPr>
                <w:rFonts w:ascii="Arial" w:cs="Arial" w:eastAsia="Arial" w:hAnsi="Arial"/>
                <w:sz w:val="24"/>
                <w:szCs w:val="24"/>
              </w:rPr>
              <w:t xml:space="preserve">волокно</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24"/>
          <w:szCs w:val="24"/>
        </w:rPr>
        <w:t xml:space="preserve">ПРОГНОЗ
 импорта основных товаров в Кыргызскую Республику на 2023</w:t>
      </w:r>
      <w:r>
        <w:rPr>
          <w:rFonts w:ascii="Arial" w:cs="Arial" w:eastAsia="Arial" w:hAnsi="Arial"/>
          <w:b/>
          <w:bCs/>
          <w:sz w:val="24"/>
          <w:szCs w:val="24"/>
        </w:rPr>
        <w:t xml:space="preserve">-</w:t>
      </w:r>
      <w:r>
        <w:rPr>
          <w:rFonts w:ascii="Arial" w:cs="Arial" w:eastAsia="Arial" w:hAnsi="Arial"/>
          <w:b/>
          <w:bCs/>
          <w:sz w:val="24"/>
          <w:szCs w:val="24"/>
        </w:rPr>
        <w:t xml:space="preserve">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9"/>
        <w:gridCol w:w="1404"/>
        <w:gridCol w:w="669"/>
        <w:gridCol w:w="669"/>
        <w:gridCol w:w="669"/>
        <w:gridCol w:w="669"/>
        <w:gridCol w:w="669"/>
        <w:gridCol w:w="669"/>
        <w:gridCol w:w="669"/>
      </w:tblGrid>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всего</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5580,2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62,6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292,4</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275,0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321,3</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444,3</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540,0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322,9</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355,0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297,8</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300,0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Черный металл и изделия из него</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320,0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194,7</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200,0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62,0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Древесина и изделия из нее</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90,0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18,0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и табачные изделия</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долл. США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66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51,5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24"/>
          <w:szCs w:val="24"/>
        </w:rPr>
        <w:t xml:space="preserve">ПРОГНОЗНЫЕ ПОКАЗАТЕЛИ</w:t>
      </w:r>
      <w:r>
        <w:rPr>
          <w:rFonts w:ascii="Arial" w:cs="Arial" w:eastAsia="Arial" w:hAnsi="Arial"/>
          <w:b/>
          <w:bCs/>
          <w:sz w:val="24"/>
          <w:szCs w:val="24"/>
        </w:rPr>
        <w:t xml:space="preserve">
 развития регионов Кыргызской Республики на 2023-2027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5"/>
        <w:gridCol w:w="796"/>
        <w:gridCol w:w="881"/>
        <w:gridCol w:w="881"/>
        <w:gridCol w:w="881"/>
        <w:gridCol w:w="881"/>
        <w:gridCol w:w="881"/>
        <w:gridCol w:w="881"/>
      </w:tblGrid>
      <w:tr>
        <w:tc>
          <w:tcPr>
            <w:tcW w:type="dxa" w:w="40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7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r>
      <w:tr>
        <w:tc>
          <w:tcPr>
            <w:vMerge w:val="continue"/>
            <w:tcBorders>
              <w:top w:val="single" w:color="CBBF9E" w:sz="4"/>
              <w:left w:val="single" w:color="CBBF9E" w:sz="4"/>
              <w:bottom w:val="single" w:color="CBBF9E" w:sz="4"/>
              <w:right w:val="single" w:color="CBBF9E" w:sz="4"/>
            </w:tcBorders>
          </w:tcP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Валовой региональный продукт (млн. сомов)(1)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723122,2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824948,9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926980,6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1021904,4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1127484,8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1239524,3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1335823,5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28571,9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31771,6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34829,0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37722,3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41083,1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44457,9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85073,5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96777,0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107573,7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119182,8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133184,0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147169,4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168379,4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93734,0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106216,3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118258,7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128408,7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140652,6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148021,1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111101,3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20110,3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22465,6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24532,0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26887,4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29349,1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31931,2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54255,7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60520,8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67012,4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71515,2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78076,4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85958,1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93970,3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22964,2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28836,3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31987,1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34738,6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37787,2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41371,3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45737,1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100791,7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109773,2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124275,7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136862,2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165591,3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191164,8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286308,9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332143,7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376241,9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419508,5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464821,7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517282,3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578925,7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37345,8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41999,5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47393,9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52327,2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56949,9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63698,6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70155,7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Валовая продукция сельского хозяйства, лесного хозяйства и рыболовства (млн.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324283,1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366612,8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393485,3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425205,8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465991,8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506841,4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545609,8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21820,8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23526,6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24756,2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26470,7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28526,5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30858,7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32605,2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68515,6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79891,0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93801,0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103151,6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112032,1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120655,1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45070,7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49999,7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54245,5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58427,6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64511,8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69882,8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75340,3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24071,0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25745,1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27825,8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30328,8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32812,7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34932,6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63013,0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69410,3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73238,4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78777,6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85550,4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92485,4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99256,8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28889,2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33843,6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37042,8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39879,5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43915,3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48315,0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52272,9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73277,1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83606,2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89867,3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117572,0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127516,5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Валовая продукция промышленности (с учетом стоимости переработки давальческого сырья, без учета покупной электроэнергии) (млн.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357569,4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399710,7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445217,2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483700,8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524361,8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545800,9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504309,0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5247,1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35692,7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39311,2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42483,1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47557,7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53333,3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57235,2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60468,5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75768,4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89262,7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97171,8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103506,7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112998,2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113009,8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47335,1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5522,6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15950,1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21346,8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18950,1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21921,1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22611,6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25895,5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163992,6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198209,2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216829,3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234663,7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244725,8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258330,9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45893,3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52289,5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56022,0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67630,5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71392,8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8769,7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продукции промышленности (без учета стоимости переработки давальческого сырья, но с учетом покупной электроэнергии) (млн.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357176,5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398609,3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443882,0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481329,4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520469,7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539533,7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494906,4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5235,5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35648,9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38973,4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42077,6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46798,7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52238,2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56059,5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58691,4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75724,7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93277,9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99455,9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108160,3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107729,1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42247,4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5496,8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13319,9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21706,2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21100,9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21765,5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24260,0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163949,1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175637,6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201621,9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219923,7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237360,8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246809,0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258516,4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45849,6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51962,1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55831,3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59822,8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64063,4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66624,8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70197,5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8555,1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Валовой выпуск сферы услуг (млн. сомов)(2)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539153,7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624336,2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712868,1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791796,0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880099,4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984358,2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1100713,8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19924,9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27793,0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30690,1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36689,4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40253,3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55698,3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64379,4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73717,0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81550,6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102560,4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114649,8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24493,6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29018,5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32807,6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36008,0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40395,4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46063,8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51123,2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22620,1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24762,9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27216,6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39325,3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45054,2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51422,1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56367,6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62502,7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69941,8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76888,8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17842,2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20152,3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22067,0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26559,2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29812,7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59591,3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68652,6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78869,7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87018,2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97744,7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108791,7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122632,2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268515,5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311223,1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355217,6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397856,9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442972,9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496249,5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557894,7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41681,7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47343,1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59529,1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64632,7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72739,6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80326,4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Валовой выпуск оптовой и розничной торговли; ремонт автомобилей и мотоциклов (млн. сомов)(3)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199847,8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247373,9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303392,1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349971,7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402552,1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466836,4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539423,7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15521,2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17181,4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22785,5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35491,1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41096,9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48774,5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56722,4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66214,2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16074,6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18668,3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7764,1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10162,9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25109,2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30141,2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35089,8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39992,8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46775,3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54405,3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10640,2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15479,4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18793,4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21031,5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30584,1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36980,3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45095,7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53139,1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60369,8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70634,4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81776,1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77420,9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94832,5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119168,5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135835,4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156717,2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181033,7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209010,2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22277,6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27940,4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33910,7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39474,0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45047,6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52400,4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60973,8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оказанных рыночных услуг (млн.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858736,1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1037731,3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1242156,9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1412105,0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1602388,5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1832648,6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2090620,0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19962,4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23923,4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31164,6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36810,0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41640,6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47458,1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101385,4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120633,6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136259,3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154252,5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176911,5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201922,3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36381,0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43149,8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48664,4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54853,0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62367,3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70488,4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19099,1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21315,7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24010,7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26703,6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53535,2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64650,1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77031,7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86983,9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98337,2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112209,3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128691,4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26237,6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31049,2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34314,3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38499,7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43662,8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49442,2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107397,0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129424,9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156859,6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182414,7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206888,9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236845,9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270177,3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457385,3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553681,8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663753,2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756265,8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859121,9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984676,2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1125239,2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72281,2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86990,5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103729,0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116938,9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132309,6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150324,3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170497,5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Оптовая и розничная торговля; ремонт автомобилей и мотоциклов (млн.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689301,5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849428,7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1037103,9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1190767,8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1363288,3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1573666,4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1809890,7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19579,9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27323,7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35660,1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41411,1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71697,8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87366,5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105985,4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126407,9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152536,1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180857,0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206706,7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24366,9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29770,4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35368,7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39955,4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44761,7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51333,4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60038,1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18538,6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22089,9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24954,8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47942,3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58092,5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70273,6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95265,5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108196,8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125437,3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17985,1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26624,0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29911,6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37377,9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46135,7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97647,3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116956,1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144179,1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164339,7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188352,4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219844,9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250600,8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344670,1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428295,2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528384,3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603091,3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681299,6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784852,5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899721,3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58826,1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88319,7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104740,5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118281,7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133453,9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154884,9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Валовая продукция строительства (млн.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146964,1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165037,0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187751,4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211772,9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235479,1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266273,7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300620,1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8207,2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20473,1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22520,6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25145,9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27988,0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31387,9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36232,5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42492,3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21318,6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23477,6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29614,8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36721,2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39865,9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6310,4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14656,2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3548</w:t>
            </w:r>
            <w:r>
              <w:rPr>
                <w:rFonts w:ascii="Arial" w:cs="Arial" w:eastAsia="Arial" w:hAnsi="Arial"/>
                <w:sz w:val="24"/>
                <w:szCs w:val="24"/>
              </w:rPr>
              <w:t xml:space="preserve">,</w:t>
            </w:r>
            <w:r>
              <w:rPr>
                <w:rFonts w:ascii="Arial" w:cs="Arial" w:eastAsia="Arial" w:hAnsi="Arial"/>
                <w:sz w:val="24"/>
                <w:szCs w:val="24"/>
              </w:rPr>
              <w:t xml:space="preserve">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17980,0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20310,0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23662,9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26650,9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34023,5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38363,6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60036,6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68587,3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79279,3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100977,9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114827,5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130553,6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11628,2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12783,8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15626,2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инвестиций в основной капитал (млн.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122260,6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139234,0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156464,8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178955,4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198793,4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223974,0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255129,3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9980,9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21365,0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25231,1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27354,6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31386,6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34765,9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39132,3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44425,7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24076,2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27662,3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31338,5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34912,6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39234,9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44556,5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4688,8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5994,6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10452,7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4204,6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15563,9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22450,3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25529,5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45122,5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58739,0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67832,2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75490,7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85027,5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97845,1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12139,7</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Численность занятых в экономике, тыс. человек</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2537,9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2582,8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2622,1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2729,4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2763,8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Созданные рабочие места, единиц</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99494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100687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102298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105287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106761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108255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21110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29445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37377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38431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Уровень общей безработицы, %</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Среднемесячная оплата труда,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19330,0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22633,8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24966,1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27204,6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29331,4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31675,6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34012,1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15395,8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17032,2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18513,7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19927,6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23205,5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17478,0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20545,7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22993,8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27014,2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29173,2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31325,1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30172,0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34629,7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37949,9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43410,5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45929,6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48297,2</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17941,0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21175,7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25717,2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27735,5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29941,8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32093,5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14598,8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16153,1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19065,4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20589,1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22073,9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16400,0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23015,1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26987,6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29012,3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15958,0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19465,0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21595,7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23668,0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27684,5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29556,5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23085,0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27613,2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31582,2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34005,8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36664,3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39594,5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42175,0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18333,3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25863,1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27838,9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Прожиточный минимум, сомов</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6268,3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7158,4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7838,5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8379,3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8848,6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9264,4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9598,0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6956,5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8102,9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9332,6</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8739,3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9977,3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7188,7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7634,7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8067,3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8451,4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8760,7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6961,3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7721,2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9073,8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9390,5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6299,9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7878,0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8361,5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9183,4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9499,0</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5754,0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6471,0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8438,1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8761,8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5978,8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6767,8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7376,4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7825,4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8600,9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8885,5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7214,5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7899,8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8424,9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8906,7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9335,3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9661,4</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6345,6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7216,6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7835,1</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8385,7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8843,3</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9246,9</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9606,8</w:t>
            </w:r>
          </w:p>
        </w:tc>
      </w:tr>
      <w:tr>
        <w:tc>
          <w:tcPr>
            <w:tcW w:type="dxa" w:w="40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bl>
    <w:p>
      <w:pPr>
        <w:spacing w:after="6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2021 год.</w:t>
      </w:r>
    </w:p>
    <w:p>
      <w:pPr>
        <w:spacing w:after="60"/>
        <w:ind w:firstLine="567"/>
        <w:jc w:val="both"/>
      </w:pPr>
      <w:r>
        <w:rPr>
          <w:rFonts w:ascii="Arial" w:cs="Arial" w:eastAsia="Arial" w:hAnsi="Arial"/>
          <w:sz w:val="24"/>
          <w:szCs w:val="24"/>
        </w:rPr>
        <w:t xml:space="preserve">(2) Оценка Министерства экономики и коммерции Кыргызской Республики за 2021 год.</w:t>
      </w:r>
    </w:p>
    <w:p>
      <w:pPr>
        <w:spacing w:after="60"/>
        <w:ind w:firstLine="567"/>
        <w:jc w:val="both"/>
      </w:pPr>
      <w:r>
        <w:rPr>
          <w:rFonts w:ascii="Arial" w:cs="Arial" w:eastAsia="Arial" w:hAnsi="Arial"/>
          <w:sz w:val="24"/>
          <w:szCs w:val="24"/>
        </w:rPr>
        <w:t xml:space="preserve">(3) Оценка Министерства экономики и коммерции Кыргызской Республики за 2021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Прогнозу социально-экономического развития Кыргызской Республики на 2023-2027 годы</w:t>
      </w:r>
    </w:p>
    <w:p>
      <w:pPr>
        <w:spacing w:after="400" w:before="400"/>
        <w:jc w:val="center"/>
      </w:pPr>
      <w:r>
        <w:rPr>
          <w:rFonts w:ascii="Arial" w:cs="Arial" w:eastAsia="Arial" w:hAnsi="Arial"/>
          <w:b/>
          <w:bCs/>
          <w:sz w:val="32"/>
          <w:szCs w:val="32"/>
        </w:rPr>
        <w:t xml:space="preserve">Реальные вклады отраслей производства, формирующих ВВП, на 2024-2027 годы,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6"/>
        <w:gridCol w:w="924"/>
        <w:gridCol w:w="924"/>
        <w:gridCol w:w="924"/>
        <w:gridCol w:w="924"/>
        <w:gridCol w:w="1720"/>
        <w:gridCol w:w="1563"/>
        <w:gridCol w:w="1571"/>
      </w:tblGrid>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99,75</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1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amlhyewsl_mjmynmre8">
      <w:r>
        <w:rPr>
          <w:rFonts w:ascii="Arial" w:cs="Arial" w:eastAsia="Arial" w:hAnsi="Arial"/>
          <w:color w:val="132D3F"/>
          <w:sz w:val="16"/>
          <w:szCs w:val="16"/>
          <w:u w:val="single"/>
        </w:rPr>
        <w:t xml:space="preserve">dalil.kg/document/159600</w:t>
      </w:r>
    </w:hyperlink>
  </w:p>
  <w:p>
    <w:pPr>
      <w:spacing w:after="0" w:before="40"/>
      <w:jc w:val="center"/>
    </w:pPr>
    <w:hyperlink w:history="1" r:id="rIdck2gkwnq8sxutwihjkyt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vvlltlrwp6kvcjc1ykv7" Type="http://schemas.openxmlformats.org/officeDocument/2006/relationships/hyperlink" Target="https://dalil.kg/document/111338#st_74" TargetMode="External"/><Relationship Id="rIdbkwvdr1jjftbhrrgnk9xk" Type="http://schemas.openxmlformats.org/officeDocument/2006/relationships/hyperlink" Target="https://dalil.kg/document/112301#st_13" TargetMode="External"/><Relationship Id="rId4qwssadtnecnw_4fe6ahq" Type="http://schemas.openxmlformats.org/officeDocument/2006/relationships/hyperlink" Target="https://dalil.kg/document/112301#st_17" TargetMode="External"/><Relationship Id="rIdvjnyxfrow9tfmwsrudlff" Type="http://schemas.openxmlformats.org/officeDocument/2006/relationships/hyperlink" Target="https://dalil.kg/document/158853" TargetMode="External"/><Relationship Id="rIdxf8tasmap6bdl7ooxby2k" Type="http://schemas.openxmlformats.org/officeDocument/2006/relationships/hyperlink" Target="https://dalil.kg/document/158852" TargetMode="External"/><Relationship Id="rIdzodmarddcgdutrnutp-2a" Type="http://schemas.openxmlformats.org/officeDocument/2006/relationships/hyperlink" Target="https://dalil.kg/document/800838" TargetMode="External"/><Relationship Id="rId-o2ar-uokxsig7bkoqyf-" Type="http://schemas.openxmlformats.org/officeDocument/2006/relationships/hyperlink" Target="https://dalil.kg/document/12942" TargetMode="External"/><Relationship Id="rId_5sq1x9cqlj4vywlq52sx" Type="http://schemas.openxmlformats.org/officeDocument/2006/relationships/hyperlink" Target="https://dalil.kg/document/430002" TargetMode="External"/><Relationship Id="rIdy9lshb91yyy6rr90ybsip" Type="http://schemas.openxmlformats.org/officeDocument/2006/relationships/hyperlink" Target="https://dalil.kg/document/430700" TargetMode="External"/><Relationship Id="rIdmatzrr12wu9549rpoo13x" Type="http://schemas.openxmlformats.org/officeDocument/2006/relationships/hyperlink" Target="https://dalil.kg/document/430699" TargetMode="External"/><Relationship Id="rIdyrymc9-ny6ubgvxpmmztl" Type="http://schemas.openxmlformats.org/officeDocument/2006/relationships/hyperlink" Target="https://dalil.kg/document/158853" TargetMode="External"/><Relationship Id="rIdaai2mdzeqjboy_1yyin1o" Type="http://schemas.openxmlformats.org/officeDocument/2006/relationships/hyperlink" Target="https://dalil.kg/document/158852" TargetMode="External"/><Relationship Id="rIdvvbjgvoyqqzbvpmn1tn8q" Type="http://schemas.openxmlformats.org/officeDocument/2006/relationships/hyperlink" Target="https://dalil.kg/document/98725" TargetMode="External"/><Relationship Id="rIdennkcq7nugohjd6g6zk5w" Type="http://schemas.openxmlformats.org/officeDocument/2006/relationships/hyperlink" Target="https://dalil.kg/document/98725" TargetMode="External"/><Relationship Id="rId2zpeihuprt2gnzhfkco5a" Type="http://schemas.openxmlformats.org/officeDocument/2006/relationships/hyperlink" Target="https://dalil.kg/document/158734" TargetMode="External"/><Relationship Id="rIdwuh2fvj2i3lqx4eat1tss" Type="http://schemas.openxmlformats.org/officeDocument/2006/relationships/hyperlink" Target="https://dalil.kg/document/158638" TargetMode="External"/><Relationship Id="rIdf6edaihyrk4n9ox4v5159" Type="http://schemas.openxmlformats.org/officeDocument/2006/relationships/hyperlink" Target="https://dalil.kg/document/159281" TargetMode="External"/><Relationship Id="rId0o4bscvkcjfrjjwachedm" Type="http://schemas.openxmlformats.org/officeDocument/2006/relationships/hyperlink" Target="https://dalil.kg/document/112298" TargetMode="External"/><Relationship Id="rIdp45ku3zzctoisw0okzekj" Type="http://schemas.openxmlformats.org/officeDocument/2006/relationships/hyperlink" Target="https://dalil.kg/document/430984" TargetMode="External"/><Relationship Id="rIdudulwov1cwnivf1qgfmbl" Type="http://schemas.openxmlformats.org/officeDocument/2006/relationships/hyperlink" Target="https://dalil.kg/document/430478" TargetMode="External"/><Relationship Id="rIddsv4yvvqxhfnftrwur4va" Type="http://schemas.openxmlformats.org/officeDocument/2006/relationships/hyperlink" Target="https://dalil.kg/document/430381" TargetMode="External"/><Relationship Id="rIdz5b1ys7i03jws-u0--bh9" Type="http://schemas.openxmlformats.org/officeDocument/2006/relationships/hyperlink" Target="https://dalil.kg/document/430002" TargetMode="External"/><Relationship Id="rIdd_sni9fp8qdflrhvv9va1" Type="http://schemas.openxmlformats.org/officeDocument/2006/relationships/hyperlink" Target="https://dalil.kg/document/430700" TargetMode="External"/><Relationship Id="rIda1fji3y47yqpnpxgc5vdb" Type="http://schemas.openxmlformats.org/officeDocument/2006/relationships/hyperlink" Target="https://dalil.kg/document/430699" TargetMode="External"/><Relationship Id="rIdzyukzb36hxpifzjtd1nvp" Type="http://schemas.openxmlformats.org/officeDocument/2006/relationships/hyperlink" Target="https://dalil.kg/document/14321" TargetMode="External"/><Relationship Id="rIdmbdpim9sfop3zc_r8dvr3" Type="http://schemas.openxmlformats.org/officeDocument/2006/relationships/hyperlink" Target="https://dalil.kg/document/100162" TargetMode="External"/><Relationship Id="rId78wrjxgmsmlbhjbnlaqef" Type="http://schemas.openxmlformats.org/officeDocument/2006/relationships/hyperlink" Target="https://dalil.kg/document/14319" TargetMode="External"/><Relationship Id="rId4qqaid_cxtuu8wenpouom" Type="http://schemas.openxmlformats.org/officeDocument/2006/relationships/hyperlink" Target="https://dalil.kg/document/14562" TargetMode="External"/><Relationship Id="rIdc7didsyjj504_nvjxrtzy" Type="http://schemas.openxmlformats.org/officeDocument/2006/relationships/hyperlink" Target="https://dalil.kg/document/14561" TargetMode="External"/><Relationship Id="rIdmubqanioph3b7wvmm2xcu" Type="http://schemas.openxmlformats.org/officeDocument/2006/relationships/hyperlink" Target="https://dalil.kg/document/14588" TargetMode="External"/><Relationship Id="rId6ty106btwncztxyouep80" Type="http://schemas.openxmlformats.org/officeDocument/2006/relationships/hyperlink" Target="https://dalil.kg/document/14587" TargetMode="External"/><Relationship Id="rId5m5iunn0vzaxxyjod4erj" Type="http://schemas.openxmlformats.org/officeDocument/2006/relationships/hyperlink" Target="https://dalil.kg/document/157158" TargetMode="External"/><Relationship Id="rIdtm6vdqphls0vin4sem-fc" Type="http://schemas.openxmlformats.org/officeDocument/2006/relationships/hyperlink" Target="https://dalil.kg/document/157159" TargetMode="External"/><Relationship Id="rIdm0hbfbhf8z9sfhtwy_ii2" Type="http://schemas.openxmlformats.org/officeDocument/2006/relationships/hyperlink" Target="https://dalil.kg/document/10051" TargetMode="External"/><Relationship Id="rIdm6irxfnrmkralrtpynh7d" Type="http://schemas.openxmlformats.org/officeDocument/2006/relationships/hyperlink" Target="https://dalil.kg/document/10050" TargetMode="External"/><Relationship Id="rIda00qk11ysa9vobvmuo3mi" Type="http://schemas.openxmlformats.org/officeDocument/2006/relationships/hyperlink" Target="https://dalil.kg/document/430700" TargetMode="External"/><Relationship Id="rIdgpfsdf_wi-jsm-7sfpvdb" Type="http://schemas.openxmlformats.org/officeDocument/2006/relationships/hyperlink" Target="https://dalil.kg/document/430699" TargetMode="External"/><Relationship Id="rIdfzfolqvbgu5mgmx-zbedu" Type="http://schemas.openxmlformats.org/officeDocument/2006/relationships/hyperlink" Target="https://dalil.kg/document/157189" TargetMode="External"/><Relationship Id="rId8oumocmcxkatb1dt3y4dv" Type="http://schemas.openxmlformats.org/officeDocument/2006/relationships/hyperlink" Target="https://dalil.kg/document/430340" TargetMode="External"/><Relationship Id="rIdkzirqsuyl2he9kl9ejoau" Type="http://schemas.openxmlformats.org/officeDocument/2006/relationships/hyperlink" Target="https://dalil.kg/document/218852" TargetMode="External"/><Relationship Id="rIdnfkqirwjkvumgov8tojcu" Type="http://schemas.openxmlformats.org/officeDocument/2006/relationships/hyperlink" Target="https://dalil.kg/document/159310" TargetMode="External"/><Relationship Id="rIdta_xatm1anhynou6j_d3w" Type="http://schemas.openxmlformats.org/officeDocument/2006/relationships/hyperlink" Target="https://dalil.kg/document/218902" TargetMode="External"/><Relationship Id="rId48vpqzlj3fcpgiqxnm8gc" Type="http://schemas.openxmlformats.org/officeDocument/2006/relationships/hyperlink" Target="https://dalil.kg/document/430700" TargetMode="External"/><Relationship Id="rIdudhpsailjfabkxt9ujuxm" Type="http://schemas.openxmlformats.org/officeDocument/2006/relationships/hyperlink" Target="https://dalil.kg/document/430699" TargetMode="External"/><Relationship Id="rIdowdrpn95wvhtosk_h6a1m" Type="http://schemas.openxmlformats.org/officeDocument/2006/relationships/hyperlink" Target="https://dalil.kg/document/12943" TargetMode="External"/><Relationship Id="rIdtm_t6dkef8tqms5fpxng1" Type="http://schemas.openxmlformats.org/officeDocument/2006/relationships/hyperlink" Target="https://dalil.kg/document/12942" TargetMode="External"/><Relationship Id="rIdg2iimhn9n4sntnylef5cm" Type="http://schemas.openxmlformats.org/officeDocument/2006/relationships/hyperlink" Target="https://dalil.kg/document/430822" TargetMode="External"/><Relationship Id="rIdadyqvs9qiepojlisg9pis" Type="http://schemas.openxmlformats.org/officeDocument/2006/relationships/hyperlink" Target="https://dalil.kg/document/159198" TargetMode="External"/><Relationship Id="rIdrh_y_uozg5ngey7ptdpin" Type="http://schemas.openxmlformats.org/officeDocument/2006/relationships/hyperlink" Target="https://dalil.kg/document/430271" TargetMode="External"/><Relationship Id="rIdtfoto1vcyzztd3ahfjdc0" Type="http://schemas.openxmlformats.org/officeDocument/2006/relationships/hyperlink" Target="https://dalil.kg/document/430700" TargetMode="External"/><Relationship Id="rIdzsrwbqh-sqxw-972edngn" Type="http://schemas.openxmlformats.org/officeDocument/2006/relationships/hyperlink" Target="https://dalil.kg/document/430699" TargetMode="External"/><Relationship Id="rIdu2t1r_bftjime2eazfa2s" Type="http://schemas.openxmlformats.org/officeDocument/2006/relationships/hyperlink" Target="https://dalil.kg/document/88364" TargetMode="External"/><Relationship Id="rIdhpnhyiecks1e_9xcqaw93" Type="http://schemas.openxmlformats.org/officeDocument/2006/relationships/hyperlink" Target="https://dalil.kg/document/88260" TargetMode="External"/><Relationship Id="rIdktxb3ormpakxmqtkyd1bi" Type="http://schemas.openxmlformats.org/officeDocument/2006/relationships/hyperlink" Target="https://dalil.kg/document/430700" TargetMode="External"/><Relationship Id="rIddgrkjwrwdtsdk0jexh7r4" Type="http://schemas.openxmlformats.org/officeDocument/2006/relationships/hyperlink" Target="https://dalil.kg/document/430699" TargetMode="External"/><Relationship Id="rId0fk3g-xr2aezajzbosnja" Type="http://schemas.openxmlformats.org/officeDocument/2006/relationships/hyperlink" Target="https://dalil.kg/document/12976" TargetMode="External"/><Relationship Id="rIdifgh1dawiikpryzojd4of" Type="http://schemas.openxmlformats.org/officeDocument/2006/relationships/hyperlink" Target="https://dalil.kg/document/12975" TargetMode="External"/><Relationship Id="rId54k9hppqsq38pkzke-9yp" Type="http://schemas.openxmlformats.org/officeDocument/2006/relationships/hyperlink" Target="https://dalil.kg/document/158226" TargetMode="External"/><Relationship Id="rId8" Type="http://schemas.openxmlformats.org/officeDocument/2006/relationships/image" Target="media/8de64316e95979c063c17bcd5380dc052a2594e9.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amlhyewsl_mjmynmre8" Type="http://schemas.openxmlformats.org/officeDocument/2006/relationships/hyperlink" Target="https://dalil.kg/document/159600" TargetMode="External"/><Relationship Id="rIdck2gkwnq8sxutwihjkyt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2026-09-28T10:17:35.507Z</dcterms:created>
  <dcterms:modified xsi:type="dcterms:W3CDTF">2026-09-28T10:17:35.507Z</dcterms:modified>
</cp:coreProperties>
</file>

<file path=docProps/custom.xml><?xml version="1.0" encoding="utf-8"?>
<Properties xmlns="http://schemas.openxmlformats.org/officeDocument/2006/custom-properties" xmlns:vt="http://schemas.openxmlformats.org/officeDocument/2006/docPropsVTypes"/>
</file>