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00" w:before="400"/>
        <w:jc w:val="center"/>
      </w:pPr>
      <w:r>
        <w:rPr>
          <w:rFonts w:ascii="Arial" w:cs="Arial" w:eastAsia="Arial" w:hAnsi="Arial"/>
          <w:i/>
          <w:iCs/>
          <w:sz w:val="24"/>
          <w:szCs w:val="24"/>
        </w:rPr>
        <w:t xml:space="preserve">УТРАТИЛО СИЛУ
 в соответствии с </w:t>
      </w:r>
      <w:hyperlink w:history="1" r:id="rIdp4difusscimarhkkj3rs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сентября 2024 года № 554</w:t>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p3pijlaxizuey8nf1ych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января 2023 года № 20)</w:t>
      </w:r>
    </w:p>
    <w:p>
      <w:pPr>
        <w:spacing w:after="400" w:before="400"/>
        <w:jc w:val="center"/>
      </w:pPr>
      <w:r>
        <w:rPr>
          <w:rFonts w:ascii="Arial" w:cs="Arial" w:eastAsia="Arial" w:hAnsi="Arial"/>
          <w:b/>
          <w:bCs/>
          <w:sz w:val="32"/>
          <w:szCs w:val="32"/>
        </w:rPr>
        <w:t xml:space="preserve">ТИПОВОЕ ПОЛОЖЕНИЕ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lniuo0k6u4jydwa2wuulk">
        <w:r>
          <w:rPr>
            <w:rFonts w:ascii="Arial" w:cs="Arial" w:eastAsia="Arial" w:hAnsi="Arial"/>
            <w:i/>
            <w:iCs/>
            <w:color w:val="1D4ED8"/>
            <w:sz w:val="24"/>
            <w:szCs w:val="24"/>
            <w:u w:val="single"/>
          </w:rPr>
          <w:t xml:space="preserve">12 октября 2023 года № 545</w:t>
        </w:r>
      </w:hyperlink>
      <w:r>
        <w:rPr>
          <w:rFonts w:ascii="Arial" w:cs="Arial" w:eastAsia="Arial" w:hAnsi="Arial"/>
          <w:i/>
          <w:iCs/>
          <w:sz w:val="24"/>
          <w:szCs w:val="24"/>
        </w:rPr>
        <w:t xml:space="preserve">, </w:t>
      </w:r>
      <w:hyperlink w:history="1" r:id="rIdovqkcb3fuwohzflf4pdqg">
        <w:r>
          <w:rPr>
            <w:rFonts w:ascii="Arial" w:cs="Arial" w:eastAsia="Arial" w:hAnsi="Arial"/>
            <w:i/>
            <w:iCs/>
            <w:color w:val="1D4ED8"/>
            <w:sz w:val="24"/>
            <w:szCs w:val="24"/>
            <w:u w:val="single"/>
          </w:rPr>
          <w:t xml:space="preserve">8 июля 2024 года № 368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9j1pvcfnin3z9eaqzjoa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zsmdgb1cdwzbzpvh3olg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ui8o-5esvfsnvd2ytc9o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uh9ds6pvdt_ovprmiy6r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Фонда развития региона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ke2zqbqiu6mnlafefqn-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pof68chmnh8-ex3cafvr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aifvnz8xhzirv_rrdjkf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24"/>
          <w:szCs w:val="24"/>
        </w:rPr>
        <w:t xml:space="preserve">Глава 2. Понятия, применяемые в настоящем Типовом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Фонда,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реконструкции или модернизации действующих производств в целях получения прибыли;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200" w:before="200"/>
        <w:jc w:val="center"/>
      </w:pPr>
      <w:r>
        <w:rPr>
          <w:rFonts w:ascii="Arial" w:cs="Arial" w:eastAsia="Arial" w:hAnsi="Arial"/>
          <w:b/>
          <w:bCs/>
          <w:sz w:val="24"/>
          <w:szCs w:val="24"/>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 в бюджетном и специальном счетах направляются на финансирование социальных, инфраструктурных и экономических проектов, в том числе на:</w:t>
      </w:r>
    </w:p>
    <w:p>
      <w:pPr>
        <w:spacing w:after="60"/>
        <w:ind w:firstLine="567"/>
        <w:jc w:val="both"/>
      </w:pPr>
      <w:r>
        <w:rPr>
          <w:rFonts w:ascii="Arial" w:cs="Arial" w:eastAsia="Arial" w:hAnsi="Arial"/>
          <w:sz w:val="24"/>
          <w:szCs w:val="24"/>
        </w:rPr>
        <w:t xml:space="preserve">- предоставление финансовых средств одному из коммерческих банков Кыргызской Республики со 100% государственной долей в капитале или со значительной долей участия в капитале органов государственной власти Кыргызской Республики (далее - Банк)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реализацию экономических проектов участников Национального экономического проекта "Одно село - один продукт";</w:t>
      </w:r>
    </w:p>
    <w:p>
      <w:pPr>
        <w:spacing w:after="60"/>
        <w:ind w:firstLine="567"/>
        <w:jc w:val="both"/>
      </w:pPr>
      <w:r>
        <w:rPr>
          <w:rFonts w:ascii="Arial" w:cs="Arial" w:eastAsia="Arial" w:hAnsi="Arial"/>
          <w:sz w:val="24"/>
          <w:szCs w:val="24"/>
        </w:rPr>
        <w:t xml:space="preserve">- 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60"/>
        <w:ind w:firstLine="567"/>
        <w:jc w:val="both"/>
      </w:pPr>
      <w:r>
        <w:rPr>
          <w:rFonts w:ascii="Arial" w:cs="Arial" w:eastAsia="Arial" w:hAnsi="Arial"/>
          <w:sz w:val="24"/>
          <w:szCs w:val="24"/>
        </w:rPr>
        <w:t xml:space="preserve">- разработку проектно-сметной документации и другой технической документации экономических проектов;</w:t>
      </w:r>
    </w:p>
    <w:p>
      <w:pPr>
        <w:spacing w:after="60"/>
        <w:ind w:firstLine="567"/>
        <w:jc w:val="both"/>
      </w:pPr>
      <w:r>
        <w:rPr>
          <w:rFonts w:ascii="Arial" w:cs="Arial" w:eastAsia="Arial" w:hAnsi="Arial"/>
          <w:sz w:val="24"/>
          <w:szCs w:val="24"/>
        </w:rPr>
        <w:t xml:space="preserve">- 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60"/>
        <w:ind w:firstLine="567"/>
        <w:jc w:val="both"/>
      </w:pPr>
      <w:r>
        <w:rPr>
          <w:rFonts w:ascii="Arial" w:cs="Arial" w:eastAsia="Arial" w:hAnsi="Arial"/>
          <w:sz w:val="24"/>
          <w:szCs w:val="24"/>
        </w:rPr>
        <w:t xml:space="preserve">- проведение мероприятий по обеспечению населения питьевым водоснабжением и системами водоотведения;</w:t>
      </w:r>
    </w:p>
    <w:p>
      <w:pPr>
        <w:spacing w:after="60"/>
        <w:ind w:firstLine="567"/>
        <w:jc w:val="both"/>
      </w:pPr>
      <w:r>
        <w:rPr>
          <w:rFonts w:ascii="Arial" w:cs="Arial" w:eastAsia="Arial" w:hAnsi="Arial"/>
          <w:sz w:val="24"/>
          <w:szCs w:val="24"/>
        </w:rPr>
        <w:t xml:space="preserve">- ремонт и восстановление ирригационных сетей, гидротехнических объектов,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финансирование проектов дорожного, жилищно-коммунального хозяйства;</w:t>
      </w:r>
    </w:p>
    <w:p>
      <w:pPr>
        <w:spacing w:after="60"/>
        <w:ind w:firstLine="567"/>
        <w:jc w:val="both"/>
      </w:pPr>
      <w:r>
        <w:rPr>
          <w:rFonts w:ascii="Arial" w:cs="Arial" w:eastAsia="Arial" w:hAnsi="Arial"/>
          <w:sz w:val="24"/>
          <w:szCs w:val="24"/>
        </w:rPr>
        <w:t xml:space="preserve">- приобретение специальной автотранспортной и иной техники для решения вопросов местного значения;</w:t>
      </w:r>
    </w:p>
    <w:p>
      <w:pPr>
        <w:spacing w:after="60"/>
        <w:ind w:firstLine="567"/>
        <w:jc w:val="both"/>
      </w:pPr>
      <w:r>
        <w:rPr>
          <w:rFonts w:ascii="Arial" w:cs="Arial" w:eastAsia="Arial" w:hAnsi="Arial"/>
          <w:sz w:val="24"/>
          <w:szCs w:val="24"/>
        </w:rPr>
        <w:t xml:space="preserve">- 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основе срочности и возвратности, посредством заключения соответствующего финансового соглашения;</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восстановлению гражданской инфраструктуры и на материальную поддержку (обеспечение питанием и жильем, приобретение горюче-смазочных материалов, товаров первой необходимости) пострадавшего населения не менее 3% прогнозируемого годового бюджета Фонда;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неблагоприятных эпидемиологических ситуаций;</w:t>
      </w:r>
    </w:p>
    <w:p>
      <w:pPr>
        <w:spacing w:after="60"/>
        <w:ind w:firstLine="567"/>
        <w:jc w:val="both"/>
      </w:pPr>
      <w:r>
        <w:rPr>
          <w:rFonts w:ascii="Arial" w:cs="Arial" w:eastAsia="Arial" w:hAnsi="Arial"/>
          <w:sz w:val="24"/>
          <w:szCs w:val="24"/>
        </w:rPr>
        <w:t xml:space="preserve">- перечисление финансовых средств на счет другого Фонда по решению Наблюдательного совета Фонда в целях реализации задач, определенных в настоящем пункте;</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 соответствующие целям и задачам Фонда.</w:t>
      </w:r>
    </w:p>
    <w:p>
      <w:pPr>
        <w:spacing w:after="60"/>
        <w:ind w:firstLine="567"/>
        <w:jc w:val="both"/>
      </w:pP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в сфере обороны,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поддержку одаренных детей и талантов для участия в мероприятиях (образовательных, культурных, музыкальных, спортивных), социально-уязвимых слоев населения, граждан, попавших в трудную жизненную ситуацию;</w:t>
      </w:r>
    </w:p>
    <w:p>
      <w:pPr>
        <w:spacing w:after="60"/>
        <w:ind w:firstLine="567"/>
        <w:jc w:val="both"/>
      </w:pPr>
      <w:r>
        <w:rPr>
          <w:rFonts w:ascii="Arial" w:cs="Arial" w:eastAsia="Arial" w:hAnsi="Arial"/>
          <w:sz w:val="24"/>
          <w:szCs w:val="24"/>
        </w:rPr>
        <w:t xml:space="preserve">- 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60"/>
        <w:ind w:firstLine="567"/>
        <w:jc w:val="both"/>
      </w:pPr>
      <w:r>
        <w:rPr>
          <w:rFonts w:ascii="Arial" w:cs="Arial" w:eastAsia="Arial" w:hAnsi="Arial"/>
          <w:sz w:val="24"/>
          <w:szCs w:val="24"/>
        </w:rPr>
        <w:t xml:space="preserve">- финансирование предпринимательской деятельности малоимущих семей, получивших социальную помощь в рамках социального контракта в размере до 50% от полученной суммы, на основании заявки.</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ysr10ykfx-nxqfwmexkv">
        <w:r>
          <w:rPr>
            <w:rFonts w:ascii="Arial" w:cs="Arial" w:eastAsia="Arial" w:hAnsi="Arial"/>
            <w:i/>
            <w:iCs/>
            <w:color w:val="1D4ED8"/>
            <w:sz w:val="24"/>
            <w:szCs w:val="24"/>
            <w:u w:val="single"/>
          </w:rPr>
          <w:t xml:space="preserve">8 июля 2024 года № 368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60"/>
        <w:ind w:firstLine="567"/>
        <w:jc w:val="both"/>
      </w:pPr>
      <w:r>
        <w:rPr>
          <w:rFonts w:ascii="Arial" w:cs="Arial" w:eastAsia="Arial" w:hAnsi="Arial"/>
          <w:sz w:val="24"/>
          <w:szCs w:val="24"/>
        </w:rPr>
        <w:t xml:space="preserve">При этом ОАО "ГИК" направляет письменное обращение на имя Фонда с приложением соответствующих документов для дальнейшего рассмотрения Наблюдательным советом Фонда.</w:t>
      </w:r>
    </w:p>
    <w:p>
      <w:pPr>
        <w:spacing w:after="60"/>
        <w:ind w:firstLine="567"/>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сроки возврата средств Фонда, дополнительные стороны, участвующие в реализации проекта, определяются соответствующим финансовым соглашением.</w:t>
      </w:r>
    </w:p>
    <w:p>
      <w:pPr>
        <w:spacing w:after="120"/>
        <w:ind w:firstLine="567"/>
        <w:jc w:val="both"/>
      </w:pPr>
      <w:r>
        <w:rPr>
          <w:rFonts w:ascii="Arial" w:cs="Arial" w:eastAsia="Arial" w:hAnsi="Arial"/>
          <w:sz w:val="24"/>
          <w:szCs w:val="24"/>
        </w:rPr>
        <w:t xml:space="preserve">14. Прогнозируемый годовой бюджет Фонда на бюджетном и специальных счетах распределяется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512"/>
        <w:gridCol w:w="3145"/>
      </w:tblGrid>
      <w:tr>
        <w:tc>
          <w:tcPr>
            <w:tcW w:type="dxa" w:w="5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31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Фонда</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1</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(предоставление финансовых средств Фонда Банку)</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предупреждению и ликвидации чрезвычайных ситуаций</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5 (не менее 3%)</w:t>
            </w:r>
          </w:p>
        </w:tc>
      </w:tr>
      <w:tr>
        <w:tc>
          <w:tcPr>
            <w:tcW w:type="dxa" w:w="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2 + </w:t>
            </w:r>
            <w:r>
              <w:rPr>
                <w:rFonts w:ascii="Arial" w:cs="Arial" w:eastAsia="Arial" w:hAnsi="Arial"/>
                <w:b/>
                <w:bCs/>
                <w:sz w:val="24"/>
                <w:szCs w:val="24"/>
              </w:rPr>
              <w:t xml:space="preserve">n3</w:t>
            </w:r>
            <w:r>
              <w:rPr>
                <w:rFonts w:ascii="Arial" w:cs="Arial" w:eastAsia="Arial" w:hAnsi="Arial"/>
                <w:b/>
                <w:bCs/>
                <w:sz w:val="24"/>
                <w:szCs w:val="24"/>
              </w:rPr>
              <w:t xml:space="preserve"> + </w:t>
            </w:r>
            <w:r>
              <w:rPr>
                <w:rFonts w:ascii="Arial" w:cs="Arial" w:eastAsia="Arial" w:hAnsi="Arial"/>
                <w:b/>
                <w:bCs/>
                <w:sz w:val="24"/>
                <w:szCs w:val="24"/>
              </w:rPr>
              <w:t xml:space="preserve">n</w:t>
            </w:r>
            <w:r>
              <w:rPr>
                <w:rFonts w:ascii="Arial" w:cs="Arial" w:eastAsia="Arial" w:hAnsi="Arial"/>
                <w:b/>
                <w:bCs/>
                <w:sz w:val="24"/>
                <w:szCs w:val="24"/>
              </w:rPr>
              <w:t xml:space="preserve">4 + </w:t>
            </w:r>
            <w:r>
              <w:rPr>
                <w:rFonts w:ascii="Arial" w:cs="Arial" w:eastAsia="Arial" w:hAnsi="Arial"/>
                <w:b/>
                <w:bCs/>
                <w:sz w:val="24"/>
                <w:szCs w:val="24"/>
              </w:rPr>
              <w:t xml:space="preserve">n</w:t>
            </w:r>
            <w:r>
              <w:rPr>
                <w:rFonts w:ascii="Arial" w:cs="Arial" w:eastAsia="Arial" w:hAnsi="Arial"/>
                <w:b/>
                <w:bCs/>
                <w:sz w:val="24"/>
                <w:szCs w:val="24"/>
              </w:rPr>
              <w:t xml:space="preserve">5 = (100%)</w:t>
            </w:r>
          </w:p>
        </w:tc>
      </w:tr>
    </w:tbl>
    <w:p>
      <w:pPr>
        <w:spacing w:after="60" w:before="120"/>
        <w:ind w:firstLine="567"/>
        <w:jc w:val="both"/>
      </w:pPr>
      <w:r>
        <w:rPr>
          <w:rFonts w:ascii="Arial" w:cs="Arial" w:eastAsia="Arial" w:hAnsi="Arial"/>
          <w:sz w:val="24"/>
          <w:szCs w:val="24"/>
        </w:rPr>
        <w:t xml:space="preserve">По каждой категории расходов фонда процент от общей суммы прогнозируемого годового бюджета Фонда определяется и утверждается решением Наблюдательного совета Фонда не позднее 30 января текущего года.</w:t>
      </w:r>
    </w:p>
    <w:p>
      <w:pPr>
        <w:spacing w:after="200" w:before="200"/>
        <w:jc w:val="center"/>
      </w:pPr>
      <w:r>
        <w:rPr>
          <w:rFonts w:ascii="Arial" w:cs="Arial" w:eastAsia="Arial" w:hAnsi="Arial"/>
          <w:b/>
          <w:bCs/>
          <w:sz w:val="24"/>
          <w:szCs w:val="24"/>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24"/>
          <w:szCs w:val="24"/>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принятие решения о заключении или расторжении финансового соглашения между Фондом и Банком на право получения денежных средств Фонда для финансирования субъектов предпринимательства;</w:t>
      </w:r>
    </w:p>
    <w:p>
      <w:pPr>
        <w:spacing w:after="60"/>
        <w:ind w:firstLine="567"/>
        <w:jc w:val="both"/>
      </w:pPr>
      <w:r>
        <w:rPr>
          <w:rFonts w:ascii="Arial" w:cs="Arial" w:eastAsia="Arial" w:hAnsi="Arial"/>
          <w:sz w:val="24"/>
          <w:szCs w:val="24"/>
        </w:rPr>
        <w:t xml:space="preserve">5) утверждение объема финансирования для предоставления финансовых средств Банку в отчетном году;</w:t>
      </w:r>
    </w:p>
    <w:p>
      <w:pPr>
        <w:spacing w:after="60"/>
        <w:ind w:firstLine="567"/>
        <w:jc w:val="both"/>
      </w:pPr>
      <w:r>
        <w:rPr>
          <w:rFonts w:ascii="Arial" w:cs="Arial" w:eastAsia="Arial" w:hAnsi="Arial"/>
          <w:sz w:val="24"/>
          <w:szCs w:val="24"/>
        </w:rPr>
        <w:t xml:space="preserve">6) принятие решения о заключении или расторжении финансового соглашения между Фондом и ОАО "ГИК" на право получения денежных средств Фонда для реализации проектов по жилищному обеспечению граждан Кыргызской Республики;</w:t>
      </w:r>
    </w:p>
    <w:p>
      <w:pPr>
        <w:spacing w:after="60"/>
        <w:ind w:firstLine="567"/>
        <w:jc w:val="both"/>
      </w:pPr>
      <w:r>
        <w:rPr>
          <w:rFonts w:ascii="Arial" w:cs="Arial" w:eastAsia="Arial" w:hAnsi="Arial"/>
          <w:sz w:val="24"/>
          <w:szCs w:val="24"/>
        </w:rPr>
        <w:t xml:space="preserve">7) заслушивание отчета дирекции Фонда об использовании средств, направленных на финансирование экономических проектов;</w:t>
      </w:r>
    </w:p>
    <w:p>
      <w:pPr>
        <w:spacing w:after="60"/>
        <w:ind w:firstLine="567"/>
        <w:jc w:val="both"/>
      </w:pPr>
      <w:r>
        <w:rPr>
          <w:rFonts w:ascii="Arial" w:cs="Arial" w:eastAsia="Arial" w:hAnsi="Arial"/>
          <w:sz w:val="24"/>
          <w:szCs w:val="24"/>
        </w:rPr>
        <w:t xml:space="preserve">8)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9) утверждение порядка подачи, рассмотрения и принятия решений по претензиям участников конкурсного отбора;</w:t>
      </w:r>
    </w:p>
    <w:p>
      <w:pPr>
        <w:spacing w:after="60"/>
        <w:ind w:firstLine="567"/>
        <w:jc w:val="both"/>
      </w:pPr>
      <w:r>
        <w:rPr>
          <w:rFonts w:ascii="Arial" w:cs="Arial" w:eastAsia="Arial" w:hAnsi="Arial"/>
          <w:sz w:val="24"/>
          <w:szCs w:val="24"/>
        </w:rPr>
        <w:t xml:space="preserve">10)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11)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12) утверждение штатного расписания и сметы расходов дирекции Фонда;</w:t>
      </w:r>
    </w:p>
    <w:p>
      <w:pPr>
        <w:spacing w:after="60"/>
        <w:ind w:firstLine="567"/>
        <w:jc w:val="both"/>
      </w:pPr>
      <w:r>
        <w:rPr>
          <w:rFonts w:ascii="Arial" w:cs="Arial" w:eastAsia="Arial" w:hAnsi="Arial"/>
          <w:sz w:val="24"/>
          <w:szCs w:val="24"/>
        </w:rPr>
        <w:t xml:space="preserve">13) утверждение методики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14) рассмотрение, утверждение состава группы для проведения мониторинга и оценки эффективности деятельности Фонда и заслушивание отчета мониторинговой группы;</w:t>
      </w:r>
    </w:p>
    <w:p>
      <w:pPr>
        <w:spacing w:after="60"/>
        <w:ind w:firstLine="567"/>
        <w:jc w:val="both"/>
      </w:pPr>
      <w:r>
        <w:rPr>
          <w:rFonts w:ascii="Arial" w:cs="Arial" w:eastAsia="Arial" w:hAnsi="Arial"/>
          <w:sz w:val="24"/>
          <w:szCs w:val="24"/>
        </w:rPr>
        <w:t xml:space="preserve">15) принятие решения по реализации проекта дирекцией Фонда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16)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17)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18)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назначить на должность или освободить от должности исполнительного директора Фонда.</w:t>
      </w:r>
    </w:p>
    <w:p>
      <w:pPr>
        <w:spacing w:after="200" w:before="200"/>
        <w:jc w:val="center"/>
      </w:pPr>
      <w:r>
        <w:rPr>
          <w:rFonts w:ascii="Arial" w:cs="Arial" w:eastAsia="Arial" w:hAnsi="Arial"/>
          <w:b/>
          <w:bCs/>
          <w:sz w:val="24"/>
          <w:szCs w:val="24"/>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6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области охраны окружающей среды;</w:t>
      </w:r>
    </w:p>
    <w:p>
      <w:pPr>
        <w:spacing w:after="6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60"/>
        <w:ind w:firstLine="567"/>
        <w:jc w:val="both"/>
      </w:pPr>
      <w:r>
        <w:rPr>
          <w:rFonts w:ascii="Arial" w:cs="Arial" w:eastAsia="Arial" w:hAnsi="Arial"/>
          <w:sz w:val="24"/>
          <w:szCs w:val="24"/>
        </w:rPr>
        <w:t xml:space="preserve">23. 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представитель территориального подразделения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структурного подразделения местной государственной администрации района в сфере экономики;</w:t>
      </w:r>
    </w:p>
    <w:p>
      <w:pPr>
        <w:spacing w:after="60"/>
        <w:ind w:firstLine="567"/>
        <w:jc w:val="both"/>
      </w:pPr>
      <w:r>
        <w:rPr>
          <w:rFonts w:ascii="Arial" w:cs="Arial" w:eastAsia="Arial" w:hAnsi="Arial"/>
          <w:sz w:val="24"/>
          <w:szCs w:val="24"/>
        </w:rPr>
        <w:t xml:space="preserve">4) представитель территориального подразделения уполномоченного государственного органа в области содействия занятости населения;</w:t>
      </w:r>
    </w:p>
    <w:p>
      <w:pPr>
        <w:spacing w:after="60"/>
        <w:ind w:firstLine="567"/>
        <w:jc w:val="both"/>
      </w:pPr>
      <w:r>
        <w:rPr>
          <w:rFonts w:ascii="Arial" w:cs="Arial" w:eastAsia="Arial" w:hAnsi="Arial"/>
          <w:sz w:val="24"/>
          <w:szCs w:val="24"/>
        </w:rPr>
        <w:t xml:space="preserve">5) представитель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6) представитель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7)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8) председатели местных кенешей айылных аймаков и городов районного значения в количестве 30% от общего состава членов Наблюдательного совета Фонда.</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25.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26.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27. Члены Наблюдательного совета Фонда несут персональную ответственность за принимаемые Наблюдательным советом Фонда решения, которые привели к причинению вреда интересам Фонда в любой форме,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Заседания Наблюдательного совета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29.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30. 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31.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32.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33.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34. Информация о созыве заседания Наблюдательного совета Фонда с указанием повестки дня, времени и места проведения должна быть доведена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35. 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36.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24"/>
          <w:szCs w:val="24"/>
        </w:rPr>
        <w:t xml:space="preserve">§ 3. Дирекция Фонда</w:t>
      </w:r>
    </w:p>
    <w:p>
      <w:pPr>
        <w:spacing w:after="60"/>
        <w:ind w:firstLine="567"/>
        <w:jc w:val="both"/>
      </w:pPr>
      <w:r>
        <w:rPr>
          <w:rFonts w:ascii="Arial" w:cs="Arial" w:eastAsia="Arial" w:hAnsi="Arial"/>
          <w:sz w:val="24"/>
          <w:szCs w:val="24"/>
        </w:rPr>
        <w:t xml:space="preserve">37.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38.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39.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 Фонда.</w:t>
      </w:r>
    </w:p>
    <w:p>
      <w:pPr>
        <w:spacing w:after="60"/>
        <w:ind w:firstLine="567"/>
        <w:jc w:val="both"/>
      </w:pPr>
      <w:r>
        <w:rPr>
          <w:rFonts w:ascii="Arial" w:cs="Arial" w:eastAsia="Arial" w:hAnsi="Arial"/>
          <w:sz w:val="24"/>
          <w:szCs w:val="24"/>
        </w:rPr>
        <w:t xml:space="preserve">40. Исполнительный директор Фонда развития района назначается главой местной государственной администрации по рекомендации Наблюдательного совета Фонда.</w:t>
      </w:r>
    </w:p>
    <w:p>
      <w:pPr>
        <w:spacing w:after="60"/>
        <w:ind w:firstLine="567"/>
        <w:jc w:val="both"/>
      </w:pPr>
      <w:r>
        <w:rPr>
          <w:rFonts w:ascii="Arial" w:cs="Arial" w:eastAsia="Arial" w:hAnsi="Arial"/>
          <w:sz w:val="24"/>
          <w:szCs w:val="24"/>
        </w:rPr>
        <w:t xml:space="preserve">41. Штатное расписание и административные расходы дирекции Фонда утверждаются решением Наблюдательного совета Фонда.</w:t>
      </w:r>
    </w:p>
    <w:p>
      <w:pPr>
        <w:spacing w:after="60"/>
        <w:ind w:firstLine="567"/>
        <w:jc w:val="both"/>
      </w:pPr>
      <w:r>
        <w:rPr>
          <w:rFonts w:ascii="Arial" w:cs="Arial" w:eastAsia="Arial" w:hAnsi="Arial"/>
          <w:sz w:val="24"/>
          <w:szCs w:val="24"/>
        </w:rPr>
        <w:t xml:space="preserve">Условия оплаты труда работников Фонда и их штатная численность определена в пунктах 99, 100 настоящего Типового положения.</w:t>
      </w:r>
    </w:p>
    <w:p>
      <w:pPr>
        <w:spacing w:after="60"/>
        <w:ind w:firstLine="567"/>
        <w:jc w:val="both"/>
      </w:pPr>
      <w:r>
        <w:rPr>
          <w:rFonts w:ascii="Arial" w:cs="Arial" w:eastAsia="Arial" w:hAnsi="Arial"/>
          <w:sz w:val="24"/>
          <w:szCs w:val="24"/>
        </w:rPr>
        <w:t xml:space="preserve">42.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43. Дирекция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по решению Наблюдательного совета Фонда обеспечивает подписание финансового соглашения Фонда с Банком на право получения денежных средств Фонда для последующего финансирования субъектов предпринимательства;</w:t>
      </w:r>
    </w:p>
    <w:p>
      <w:pPr>
        <w:spacing w:after="60"/>
        <w:ind w:firstLine="567"/>
        <w:jc w:val="both"/>
      </w:pPr>
      <w:r>
        <w:rPr>
          <w:rFonts w:ascii="Arial" w:cs="Arial" w:eastAsia="Arial" w:hAnsi="Arial"/>
          <w:sz w:val="24"/>
          <w:szCs w:val="24"/>
        </w:rPr>
        <w:t xml:space="preserve">6) 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60"/>
        <w:ind w:firstLine="567"/>
        <w:jc w:val="both"/>
      </w:pPr>
      <w:r>
        <w:rPr>
          <w:rFonts w:ascii="Arial" w:cs="Arial" w:eastAsia="Arial" w:hAnsi="Arial"/>
          <w:sz w:val="24"/>
          <w:szCs w:val="24"/>
        </w:rPr>
        <w:t xml:space="preserve">7)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8) по решению Наблюдательного совета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9) по решению Наблюдательного совета Фонда выступает исполнителем социальных и инфраструктурных проектов;</w:t>
      </w:r>
    </w:p>
    <w:p>
      <w:pPr>
        <w:spacing w:after="60"/>
        <w:ind w:firstLine="567"/>
        <w:jc w:val="both"/>
      </w:pPr>
      <w:r>
        <w:rPr>
          <w:rFonts w:ascii="Arial" w:cs="Arial" w:eastAsia="Arial" w:hAnsi="Arial"/>
          <w:sz w:val="24"/>
          <w:szCs w:val="24"/>
        </w:rPr>
        <w:t xml:space="preserve">10) 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11) нанимает специалистов, консультантов для осуществления функций дирекции Фонда, мониторинга и оценки проектов;</w:t>
      </w:r>
    </w:p>
    <w:p>
      <w:pPr>
        <w:spacing w:after="60"/>
        <w:ind w:firstLine="567"/>
        <w:jc w:val="both"/>
      </w:pPr>
      <w:r>
        <w:rPr>
          <w:rFonts w:ascii="Arial" w:cs="Arial" w:eastAsia="Arial" w:hAnsi="Arial"/>
          <w:sz w:val="24"/>
          <w:szCs w:val="24"/>
        </w:rPr>
        <w:t xml:space="preserve">12) 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и экономических проектов;</w:t>
      </w:r>
    </w:p>
    <w:p>
      <w:pPr>
        <w:spacing w:after="60"/>
        <w:ind w:firstLine="567"/>
        <w:jc w:val="both"/>
      </w:pPr>
      <w:r>
        <w:rPr>
          <w:rFonts w:ascii="Arial" w:cs="Arial" w:eastAsia="Arial" w:hAnsi="Arial"/>
          <w:sz w:val="24"/>
          <w:szCs w:val="24"/>
        </w:rPr>
        <w:t xml:space="preserve">13) разрабатывает и представляет на рассмотрение и утверждение Наблюдательного совета Фонда перечень административных расходов дирекции Фонда на предстоящий год;</w:t>
      </w:r>
    </w:p>
    <w:p>
      <w:pPr>
        <w:spacing w:after="60"/>
        <w:ind w:firstLine="567"/>
        <w:jc w:val="both"/>
      </w:pPr>
      <w:r>
        <w:rPr>
          <w:rFonts w:ascii="Arial" w:cs="Arial" w:eastAsia="Arial" w:hAnsi="Arial"/>
          <w:sz w:val="24"/>
          <w:szCs w:val="24"/>
        </w:rPr>
        <w:t xml:space="preserve">14)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15) подготавливает информацию для аудита;</w:t>
      </w:r>
    </w:p>
    <w:p>
      <w:pPr>
        <w:spacing w:after="60"/>
        <w:ind w:firstLine="567"/>
        <w:jc w:val="both"/>
      </w:pPr>
      <w:r>
        <w:rPr>
          <w:rFonts w:ascii="Arial" w:cs="Arial" w:eastAsia="Arial" w:hAnsi="Arial"/>
          <w:sz w:val="24"/>
          <w:szCs w:val="24"/>
        </w:rPr>
        <w:t xml:space="preserve">16)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17)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60"/>
        <w:ind w:firstLine="567"/>
        <w:jc w:val="both"/>
      </w:pPr>
      <w:r>
        <w:rPr>
          <w:rFonts w:ascii="Arial" w:cs="Arial" w:eastAsia="Arial" w:hAnsi="Arial"/>
          <w:sz w:val="24"/>
          <w:szCs w:val="24"/>
        </w:rPr>
        <w:t xml:space="preserve">44. Исполнительный директор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Банком/ОАО "ГИК" на основании решения Наблюдательного совета Фонда;</w:t>
      </w:r>
    </w:p>
    <w:p>
      <w:pPr>
        <w:spacing w:after="60"/>
        <w:ind w:firstLine="567"/>
        <w:jc w:val="both"/>
      </w:pPr>
      <w:r>
        <w:rPr>
          <w:rFonts w:ascii="Arial" w:cs="Arial" w:eastAsia="Arial" w:hAnsi="Arial"/>
          <w:sz w:val="24"/>
          <w:szCs w:val="24"/>
        </w:rPr>
        <w:t xml:space="preserve">4)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6) организовывает отбор сотрудников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8) принимает решения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10) осуществляет иные функции и полномочия, направленные на реализацию Типового положения на основании решений Наблюдательного совета Фонда.</w:t>
      </w:r>
    </w:p>
    <w:p>
      <w:pPr>
        <w:spacing w:after="60"/>
        <w:ind w:firstLine="567"/>
        <w:jc w:val="both"/>
      </w:pPr>
      <w:r>
        <w:rPr>
          <w:rFonts w:ascii="Arial" w:cs="Arial" w:eastAsia="Arial" w:hAnsi="Arial"/>
          <w:sz w:val="24"/>
          <w:szCs w:val="24"/>
        </w:rPr>
        <w:t xml:space="preserve">45.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46.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47.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прогнозированию и исполнению бюджета и государственному органу по экономическому прогнозированию отчет об исполнении средств Фонда за отчетный год и отчет о реализации проектов.</w:t>
      </w:r>
    </w:p>
    <w:p>
      <w:pPr>
        <w:spacing w:after="60"/>
        <w:ind w:firstLine="567"/>
        <w:jc w:val="both"/>
      </w:pPr>
      <w:r>
        <w:rPr>
          <w:rFonts w:ascii="Arial" w:cs="Arial" w:eastAsia="Arial" w:hAnsi="Arial"/>
          <w:sz w:val="24"/>
          <w:szCs w:val="24"/>
        </w:rPr>
        <w:t xml:space="preserve">48. В начале каждого года, но не позднее 30 января текущего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24"/>
          <w:szCs w:val="24"/>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24"/>
          <w:szCs w:val="24"/>
        </w:rPr>
        <w:t xml:space="preserve">§ 1. Порядок подачи проектной заявки на финансирование социальных и инфраструктурных проектов</w:t>
      </w:r>
    </w:p>
    <w:p>
      <w:pPr>
        <w:spacing w:after="60"/>
        <w:ind w:firstLine="567"/>
        <w:jc w:val="both"/>
      </w:pPr>
      <w:r>
        <w:rPr>
          <w:rFonts w:ascii="Arial" w:cs="Arial" w:eastAsia="Arial" w:hAnsi="Arial"/>
          <w:sz w:val="24"/>
          <w:szCs w:val="24"/>
        </w:rPr>
        <w:t xml:space="preserve">49. Информация о приеме проектных заявок на финансирование социальных и инфраструктурных проектов,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50. Заявитель оформляет проектную заявку на получение финансирования для социальных и инфраструктурных проектов.</w:t>
      </w:r>
    </w:p>
    <w:p>
      <w:pPr>
        <w:spacing w:after="60"/>
        <w:ind w:firstLine="567"/>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60"/>
        <w:ind w:firstLine="567"/>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51. Дирекция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52. Дирекция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54. Наблюдательный совет Фонда не позднее 30 декабря текущего года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55.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56.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w:t>
      </w:r>
    </w:p>
    <w:p>
      <w:pPr>
        <w:spacing w:after="60"/>
        <w:ind w:firstLine="567"/>
        <w:jc w:val="both"/>
      </w:pPr>
      <w:r>
        <w:rPr>
          <w:rFonts w:ascii="Arial" w:cs="Arial" w:eastAsia="Arial" w:hAnsi="Arial"/>
          <w:sz w:val="24"/>
          <w:szCs w:val="24"/>
        </w:rPr>
        <w:t xml:space="preserve">57.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58. 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предусмотренным для финансирования социальных и инфраструктурных проектов, в процентном соотношении согласно пункту 14 настоящего Типового положения.</w:t>
      </w:r>
    </w:p>
    <w:p>
      <w:pPr>
        <w:spacing w:after="60"/>
        <w:ind w:firstLine="567"/>
        <w:jc w:val="both"/>
      </w:pPr>
      <w:r>
        <w:rPr>
          <w:rFonts w:ascii="Arial" w:cs="Arial" w:eastAsia="Arial" w:hAnsi="Arial"/>
          <w:sz w:val="24"/>
          <w:szCs w:val="24"/>
        </w:rPr>
        <w:t xml:space="preserve">59. Перечень проектов утверждается протоколом заседания Наблюдательного совета Фонда и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 в срок, определенный в пункте 81 настоящего Типового положения.</w:t>
      </w:r>
    </w:p>
    <w:p>
      <w:pPr>
        <w:spacing w:after="60"/>
        <w:ind w:firstLine="567"/>
        <w:jc w:val="both"/>
      </w:pPr>
      <w:r>
        <w:rPr>
          <w:rFonts w:ascii="Arial" w:cs="Arial" w:eastAsia="Arial" w:hAnsi="Arial"/>
          <w:sz w:val="24"/>
          <w:szCs w:val="24"/>
        </w:rPr>
        <w:t xml:space="preserve">60. 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60"/>
        <w:ind w:firstLine="567"/>
        <w:jc w:val="both"/>
      </w:pP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подтвержденных фактов о финансировании утвержденного проекта за счет других источников;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 отказ заявителя от участия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61.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24"/>
          <w:szCs w:val="24"/>
        </w:rPr>
        <w:t xml:space="preserve">§ 2. Порядок подачи проектной заявки на финансирование экономических проектов через Банк</w:t>
      </w:r>
    </w:p>
    <w:p>
      <w:pPr>
        <w:spacing w:after="60"/>
        <w:ind w:firstLine="567"/>
        <w:jc w:val="both"/>
      </w:pPr>
      <w:r>
        <w:rPr>
          <w:rFonts w:ascii="Arial" w:cs="Arial" w:eastAsia="Arial" w:hAnsi="Arial"/>
          <w:sz w:val="24"/>
          <w:szCs w:val="24"/>
        </w:rPr>
        <w:t xml:space="preserve">62. Дирекция Фонда осуществляет прием заявок на финансирование экономических проектов от субъектов предпринимательства на ежеквартальной основе не позднее 1 числа второго месяца текущего квартала.</w:t>
      </w:r>
    </w:p>
    <w:p>
      <w:pPr>
        <w:spacing w:after="60"/>
        <w:ind w:firstLine="567"/>
        <w:jc w:val="both"/>
      </w:pPr>
      <w:r>
        <w:rPr>
          <w:rFonts w:ascii="Arial" w:cs="Arial" w:eastAsia="Arial" w:hAnsi="Arial"/>
          <w:sz w:val="24"/>
          <w:szCs w:val="24"/>
        </w:rPr>
        <w:t xml:space="preserve">63. Дирекция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и направляет на ознакомление членам Наблюдательного совета Фонда.</w:t>
      </w:r>
    </w:p>
    <w:p>
      <w:pPr>
        <w:spacing w:after="60"/>
        <w:ind w:firstLine="567"/>
        <w:jc w:val="both"/>
      </w:pPr>
      <w:r>
        <w:rPr>
          <w:rFonts w:ascii="Arial" w:cs="Arial" w:eastAsia="Arial" w:hAnsi="Arial"/>
          <w:sz w:val="24"/>
          <w:szCs w:val="24"/>
        </w:rPr>
        <w:t xml:space="preserve">В случае необходимости уточняет информацию у заявителя или запрашивает дополнительные документы.</w:t>
      </w:r>
    </w:p>
    <w:p>
      <w:pPr>
        <w:spacing w:after="60"/>
        <w:ind w:firstLine="567"/>
        <w:jc w:val="both"/>
      </w:pPr>
      <w:r>
        <w:rPr>
          <w:rFonts w:ascii="Arial" w:cs="Arial" w:eastAsia="Arial" w:hAnsi="Arial"/>
          <w:sz w:val="24"/>
          <w:szCs w:val="24"/>
        </w:rPr>
        <w:t xml:space="preserve">64. Заседание Наблюдательного совета Фонда проводится не позднее 20 числа второго месяца текущего квартала.</w:t>
      </w:r>
    </w:p>
    <w:p>
      <w:pPr>
        <w:spacing w:after="60"/>
        <w:ind w:firstLine="567"/>
        <w:jc w:val="both"/>
      </w:pPr>
      <w:r>
        <w:rPr>
          <w:rFonts w:ascii="Arial" w:cs="Arial" w:eastAsia="Arial" w:hAnsi="Arial"/>
          <w:sz w:val="24"/>
          <w:szCs w:val="24"/>
        </w:rPr>
        <w:t xml:space="preserve">65. 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60"/>
        <w:ind w:firstLine="567"/>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имеющихся у Фонда на счетах в Банке.</w:t>
      </w:r>
    </w:p>
    <w:p>
      <w:pPr>
        <w:spacing w:after="60"/>
        <w:ind w:firstLine="567"/>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 Фонда в Банке.</w:t>
      </w:r>
    </w:p>
    <w:p>
      <w:pPr>
        <w:spacing w:after="60"/>
        <w:ind w:firstLine="567"/>
        <w:jc w:val="both"/>
      </w:pPr>
      <w:r>
        <w:rPr>
          <w:rFonts w:ascii="Arial" w:cs="Arial" w:eastAsia="Arial" w:hAnsi="Arial"/>
          <w:sz w:val="24"/>
          <w:szCs w:val="24"/>
        </w:rPr>
        <w:t xml:space="preserve">66. Перечень проектов утверждается протоколом заседания Наблюдательного совета Фонда и направляется в Банк с предоставлением копии решения Наблюдательного совета Фонда заявителям одобренных проектов не позднее 3 рабочих дней после проведенного заседания Наблюдательного совета Фонда.</w:t>
      </w:r>
    </w:p>
    <w:p>
      <w:pPr>
        <w:spacing w:after="60"/>
        <w:ind w:firstLine="567"/>
        <w:jc w:val="both"/>
      </w:pPr>
      <w:r>
        <w:rPr>
          <w:rFonts w:ascii="Arial" w:cs="Arial" w:eastAsia="Arial" w:hAnsi="Arial"/>
          <w:sz w:val="24"/>
          <w:szCs w:val="24"/>
        </w:rPr>
        <w:t xml:space="preserve">67. Заявители проектов, одобренных решением Наблюдательного совета Фонда, обращаются в Банк для дальнейшего предоставления необходимых документов согласно требованиям и условиям Банка.</w:t>
      </w:r>
    </w:p>
    <w:p>
      <w:pPr>
        <w:spacing w:after="60"/>
        <w:ind w:firstLine="567"/>
        <w:jc w:val="both"/>
      </w:pPr>
      <w:r>
        <w:rPr>
          <w:rFonts w:ascii="Arial" w:cs="Arial" w:eastAsia="Arial" w:hAnsi="Arial"/>
          <w:sz w:val="24"/>
          <w:szCs w:val="24"/>
        </w:rPr>
        <w:t xml:space="preserve">68. Заявителями проектов заключаются соответствующий кредитный договор с Банком согласно требованиям и условиям Банка. Проекты, не соответствующие требованиям и условиям Банка, отклоняются со стороны Банка.</w:t>
      </w:r>
    </w:p>
    <w:p>
      <w:pPr>
        <w:spacing w:after="200" w:before="200"/>
        <w:jc w:val="center"/>
      </w:pPr>
      <w:r>
        <w:rPr>
          <w:rFonts w:ascii="Arial" w:cs="Arial" w:eastAsia="Arial" w:hAnsi="Arial"/>
          <w:b/>
          <w:bCs/>
          <w:sz w:val="24"/>
          <w:szCs w:val="24"/>
        </w:rPr>
        <w:t xml:space="preserve">§ 3. Порядок финансирования экономических проектов через Банк</w:t>
      </w:r>
    </w:p>
    <w:p>
      <w:pPr>
        <w:spacing w:after="60"/>
        <w:ind w:firstLine="567"/>
        <w:jc w:val="both"/>
      </w:pPr>
      <w:r>
        <w:rPr>
          <w:rFonts w:ascii="Arial" w:cs="Arial" w:eastAsia="Arial" w:hAnsi="Arial"/>
          <w:sz w:val="24"/>
          <w:szCs w:val="24"/>
        </w:rPr>
        <w:t xml:space="preserve">69. Экономические проекты, планируемые к финансированию через Банк, должны способствовать социально-экономическому развитию региона.</w:t>
      </w:r>
    </w:p>
    <w:p>
      <w:pPr>
        <w:spacing w:after="60"/>
        <w:ind w:firstLine="567"/>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значения) и иных товаров, изъятых из гражданского оборота или ограниченных в гражданском обороте, а также принудительный и детский труд и прочие запрещенные законодательством Кыргызской Республики виды деятельности.</w:t>
      </w:r>
    </w:p>
    <w:p>
      <w:pPr>
        <w:spacing w:after="60"/>
        <w:ind w:firstLine="567"/>
        <w:jc w:val="both"/>
      </w:pPr>
      <w:r>
        <w:rPr>
          <w:rFonts w:ascii="Arial" w:cs="Arial" w:eastAsia="Arial" w:hAnsi="Arial"/>
          <w:sz w:val="24"/>
          <w:szCs w:val="24"/>
        </w:rPr>
        <w:t xml:space="preserve">70. Дирекция Фонда:</w:t>
      </w:r>
    </w:p>
    <w:p>
      <w:pPr>
        <w:spacing w:after="60"/>
        <w:ind w:firstLine="567"/>
        <w:jc w:val="both"/>
      </w:pPr>
      <w:r>
        <w:rPr>
          <w:rFonts w:ascii="Arial" w:cs="Arial" w:eastAsia="Arial" w:hAnsi="Arial"/>
          <w:sz w:val="24"/>
          <w:szCs w:val="24"/>
        </w:rPr>
        <w:t xml:space="preserve">1) на основании решения Наблюдательного совета Фонда направляет в Банк письменный запрос о намерении заключить финансовое соглашение о передаче права Банку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заключает финансовое соглашение с Банком;</w:t>
      </w:r>
    </w:p>
    <w:p>
      <w:pPr>
        <w:spacing w:after="60"/>
        <w:ind w:firstLine="567"/>
        <w:jc w:val="both"/>
      </w:pPr>
      <w:r>
        <w:rPr>
          <w:rFonts w:ascii="Arial" w:cs="Arial" w:eastAsia="Arial" w:hAnsi="Arial"/>
          <w:sz w:val="24"/>
          <w:szCs w:val="24"/>
        </w:rPr>
        <w:t xml:space="preserve">3) ежеквартально осуществляет сбор заявок субъектов предпринимательства и выносит на рассмотрение Наблюдательного совета Фонда;</w:t>
      </w:r>
    </w:p>
    <w:p>
      <w:pPr>
        <w:spacing w:after="60"/>
        <w:ind w:firstLine="567"/>
        <w:jc w:val="both"/>
      </w:pPr>
      <w:r>
        <w:rPr>
          <w:rFonts w:ascii="Arial" w:cs="Arial" w:eastAsia="Arial" w:hAnsi="Arial"/>
          <w:sz w:val="24"/>
          <w:szCs w:val="24"/>
        </w:rPr>
        <w:t xml:space="preserve">4) предоставляет Банку и заявителям копию решения Наблюдательного совета Фонда с перечнем одобренных экономических проектов;</w:t>
      </w:r>
    </w:p>
    <w:p>
      <w:pPr>
        <w:spacing w:after="60"/>
        <w:ind w:firstLine="567"/>
        <w:jc w:val="both"/>
      </w:pPr>
      <w:r>
        <w:rPr>
          <w:rFonts w:ascii="Arial" w:cs="Arial" w:eastAsia="Arial" w:hAnsi="Arial"/>
          <w:sz w:val="24"/>
          <w:szCs w:val="24"/>
        </w:rPr>
        <w:t xml:space="preserve">5) по письменному уведомлению Банка перечисляет на внутрибанковский счет Банка денежные средства, одобренных Банком проектных заявок субъектов предпринимательства, для дальнейшего кредитования;</w:t>
      </w:r>
    </w:p>
    <w:p>
      <w:pPr>
        <w:spacing w:after="60"/>
        <w:ind w:firstLine="567"/>
        <w:jc w:val="both"/>
      </w:pPr>
      <w:r>
        <w:rPr>
          <w:rFonts w:ascii="Arial" w:cs="Arial" w:eastAsia="Arial" w:hAnsi="Arial"/>
          <w:sz w:val="24"/>
          <w:szCs w:val="24"/>
        </w:rPr>
        <w:t xml:space="preserve">6) осуществляет взаиморасчеты с Банком по погашению основной суммы долга и процентного дохода на ежеквартальной основе путем исполнения обязательств, предусмотренных графиком погашения между Банком и Фондом, на дополнительный внутрибанковский (транзитный) счет, открытый Банком в целях проведения взаиморасчетов с Фондом.</w:t>
      </w:r>
    </w:p>
    <w:p>
      <w:pPr>
        <w:spacing w:after="60"/>
        <w:ind w:firstLine="567"/>
        <w:jc w:val="both"/>
      </w:pPr>
      <w:r>
        <w:rPr>
          <w:rFonts w:ascii="Arial" w:cs="Arial" w:eastAsia="Arial" w:hAnsi="Arial"/>
          <w:sz w:val="24"/>
          <w:szCs w:val="24"/>
        </w:rPr>
        <w:t xml:space="preserve">Поступившие денежные средства на дополнительный внутрибанковский (транзитный) счет могут быть использованы в счет финансирования других экономических проектов по решению Фонда.</w:t>
      </w:r>
    </w:p>
    <w:p>
      <w:pPr>
        <w:spacing w:after="60"/>
        <w:ind w:firstLine="567"/>
        <w:jc w:val="both"/>
      </w:pPr>
      <w:r>
        <w:rPr>
          <w:rFonts w:ascii="Arial" w:cs="Arial" w:eastAsia="Arial" w:hAnsi="Arial"/>
          <w:sz w:val="24"/>
          <w:szCs w:val="24"/>
        </w:rPr>
        <w:t xml:space="preserve">71. На основании решения Наблюдательного совета Фонда свободные денежные средства Фонда в Банке могут быть размещены на депозитном счете в виде срочного вклада и/или вклада до востребования с начислением соответствующих процентов Фонду.</w:t>
      </w:r>
    </w:p>
    <w:p>
      <w:pPr>
        <w:spacing w:after="60"/>
        <w:ind w:firstLine="567"/>
        <w:jc w:val="both"/>
      </w:pPr>
      <w:r>
        <w:rPr>
          <w:rFonts w:ascii="Arial" w:cs="Arial" w:eastAsia="Arial" w:hAnsi="Arial"/>
          <w:sz w:val="24"/>
          <w:szCs w:val="24"/>
        </w:rPr>
        <w:t xml:space="preserve">72. Банк:</w:t>
      </w:r>
    </w:p>
    <w:p>
      <w:pPr>
        <w:spacing w:after="60"/>
        <w:ind w:firstLine="567"/>
        <w:jc w:val="both"/>
      </w:pPr>
      <w:r>
        <w:rPr>
          <w:rFonts w:ascii="Arial" w:cs="Arial" w:eastAsia="Arial" w:hAnsi="Arial"/>
          <w:sz w:val="24"/>
          <w:szCs w:val="24"/>
        </w:rPr>
        <w:t xml:space="preserve">1) заключает финансовое соглашение с Фондом на основании поступившего письменного запроса Фонда о намерении заключить финансовое соглашение о передаче Банку права финансировать экономические проекты за счет средств Фонда;</w:t>
      </w:r>
    </w:p>
    <w:p>
      <w:pPr>
        <w:spacing w:after="60"/>
        <w:ind w:firstLine="567"/>
        <w:jc w:val="both"/>
      </w:pPr>
      <w:r>
        <w:rPr>
          <w:rFonts w:ascii="Arial" w:cs="Arial" w:eastAsia="Arial" w:hAnsi="Arial"/>
          <w:sz w:val="24"/>
          <w:szCs w:val="24"/>
        </w:rPr>
        <w:t xml:space="preserve">2) на ежеквартальной основе рассматривает поступившие кредитные заявки субъектов предпринимательства, ранее одобренные решением Наблюдательного совета Фонда, и осуществляет их кредитование, в случае соответствия проектов внутренним требованиям и условиям Банка;</w:t>
      </w:r>
    </w:p>
    <w:p>
      <w:pPr>
        <w:spacing w:after="60"/>
        <w:ind w:firstLine="567"/>
        <w:jc w:val="both"/>
      </w:pPr>
      <w:r>
        <w:rPr>
          <w:rFonts w:ascii="Arial" w:cs="Arial" w:eastAsia="Arial" w:hAnsi="Arial"/>
          <w:sz w:val="24"/>
          <w:szCs w:val="24"/>
        </w:rPr>
        <w:t xml:space="preserve">3) определяет предельную процентную ставку для субъектов предпринимательства и проценты, уплачиваемые Банком Фонду за пользование денежными средствами Фонда, в соответствии с пунктом 73 настоящего Типового положения;</w:t>
      </w:r>
    </w:p>
    <w:p>
      <w:pPr>
        <w:spacing w:after="60"/>
        <w:ind w:firstLine="567"/>
        <w:jc w:val="both"/>
      </w:pPr>
      <w:r>
        <w:rPr>
          <w:rFonts w:ascii="Arial" w:cs="Arial" w:eastAsia="Arial" w:hAnsi="Arial"/>
          <w:sz w:val="24"/>
          <w:szCs w:val="24"/>
        </w:rPr>
        <w:t xml:space="preserve">4) устанавливает комиссию за обналичивание денежных средств в рамках кредитного договора между Банком и субъектом предпринимательства в размере не более 0,5% (покрывается субъектом предпринимательства);</w:t>
      </w:r>
    </w:p>
    <w:p>
      <w:pPr>
        <w:spacing w:after="60"/>
        <w:ind w:firstLine="567"/>
        <w:jc w:val="both"/>
      </w:pPr>
      <w:r>
        <w:rPr>
          <w:rFonts w:ascii="Arial" w:cs="Arial" w:eastAsia="Arial" w:hAnsi="Arial"/>
          <w:sz w:val="24"/>
          <w:szCs w:val="24"/>
        </w:rPr>
        <w:t xml:space="preserve">5) открывает дополнительный внутрибанковский (транзитный) счет для осуществления взаиморасчетов с Фондом по погашению основной суммы долга и процентного дохода на ежеквартальной основе;</w:t>
      </w:r>
    </w:p>
    <w:p>
      <w:pPr>
        <w:spacing w:after="60"/>
        <w:ind w:firstLine="567"/>
        <w:jc w:val="both"/>
      </w:pPr>
      <w:r>
        <w:rPr>
          <w:rFonts w:ascii="Arial" w:cs="Arial" w:eastAsia="Arial" w:hAnsi="Arial"/>
          <w:sz w:val="24"/>
          <w:szCs w:val="24"/>
        </w:rPr>
        <w:t xml:space="preserve">6) по уведомлению Фонда реинвестирует свободные денежные средства Фонда на дополнительном внутрибанковском (транзитном) счете на новые экономические проекты по истечении 30 календарных дней с момента перечисления на внутрибанковский счет, неиспользованные денежные средства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60"/>
        <w:ind w:firstLine="567"/>
        <w:jc w:val="both"/>
      </w:pPr>
      <w:r>
        <w:rPr>
          <w:rFonts w:ascii="Arial" w:cs="Arial" w:eastAsia="Arial" w:hAnsi="Arial"/>
          <w:sz w:val="24"/>
          <w:szCs w:val="24"/>
        </w:rPr>
        <w:t xml:space="preserve">7) по каждому экономическому проекту, профинансированному Банком, основную сумму долга и процентный доход Фонда возвращает на казначейские счета Фонда по истечении срока исполнения графика погашения между Банком и Фондом, в сумме, равной остатку на отчетную дату на дополнительном внутрибанковском (транзитном) счете, подтвержденной актом сверки между Фондом и Банком;</w:t>
      </w:r>
    </w:p>
    <w:p>
      <w:pPr>
        <w:spacing w:after="60"/>
        <w:ind w:firstLine="567"/>
        <w:jc w:val="both"/>
      </w:pPr>
      <w:r>
        <w:rPr>
          <w:rFonts w:ascii="Arial" w:cs="Arial" w:eastAsia="Arial" w:hAnsi="Arial"/>
          <w:sz w:val="24"/>
          <w:szCs w:val="24"/>
        </w:rPr>
        <w:t xml:space="preserve">8) несет ответственность за возвратность, обеспеченность, платность, срочность и целевое использование заемных средств;</w:t>
      </w:r>
    </w:p>
    <w:p>
      <w:pPr>
        <w:spacing w:after="60"/>
        <w:ind w:firstLine="567"/>
        <w:jc w:val="both"/>
      </w:pPr>
      <w:r>
        <w:rPr>
          <w:rFonts w:ascii="Arial" w:cs="Arial" w:eastAsia="Arial" w:hAnsi="Arial"/>
          <w:sz w:val="24"/>
          <w:szCs w:val="24"/>
        </w:rPr>
        <w:t xml:space="preserve">9)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73. Финансовые условия Фонда:</w:t>
      </w:r>
    </w:p>
    <w:p>
      <w:pPr>
        <w:spacing w:after="60"/>
        <w:ind w:firstLine="567"/>
        <w:jc w:val="both"/>
      </w:pPr>
      <w:r>
        <w:rPr>
          <w:rFonts w:ascii="Arial" w:cs="Arial" w:eastAsia="Arial" w:hAnsi="Arial"/>
          <w:sz w:val="24"/>
          <w:szCs w:val="24"/>
        </w:rPr>
        <w:t xml:space="preserve">1) предельная процентная ставка для субъектов предпринимательства составляет:</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5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3 лет - 6% годовых, из них процентный доход Фонда - 2% годовых;</w:t>
      </w:r>
    </w:p>
    <w:p>
      <w:pPr>
        <w:spacing w:after="60"/>
        <w:ind w:firstLine="567"/>
        <w:jc w:val="both"/>
      </w:pPr>
      <w:r>
        <w:rPr>
          <w:rFonts w:ascii="Arial" w:cs="Arial" w:eastAsia="Arial" w:hAnsi="Arial"/>
          <w:sz w:val="24"/>
          <w:szCs w:val="24"/>
        </w:rPr>
        <w:t xml:space="preserve">2) предельная процентная ставка для субъектов предпринимательства, реализующих проект в отдаленных, труднодоступных, высокогорных и приграничных территориях, имеющих особый статус:</w:t>
      </w:r>
    </w:p>
    <w:p>
      <w:pPr>
        <w:spacing w:after="60"/>
        <w:ind w:firstLine="567"/>
        <w:jc w:val="both"/>
      </w:pPr>
      <w:r>
        <w:rPr>
          <w:rFonts w:ascii="Arial" w:cs="Arial" w:eastAsia="Arial" w:hAnsi="Arial"/>
          <w:sz w:val="24"/>
          <w:szCs w:val="24"/>
        </w:rPr>
        <w:t xml:space="preserve">для финансирования инвестиционной деятельности со сроком до 7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для финансирования оборотного капитала со сроком до 5 лет - 5,5% годовых, из них процентный доход Фонда - 1,5% годовых.</w:t>
      </w:r>
    </w:p>
    <w:p>
      <w:pPr>
        <w:spacing w:after="60"/>
        <w:ind w:firstLine="567"/>
        <w:jc w:val="both"/>
      </w:pPr>
      <w:r>
        <w:rPr>
          <w:rFonts w:ascii="Arial" w:cs="Arial" w:eastAsia="Arial" w:hAnsi="Arial"/>
          <w:sz w:val="24"/>
          <w:szCs w:val="24"/>
        </w:rPr>
        <w:t xml:space="preserve">Населенные пункты, отнесенные к отдаленным, труднодоступным, высокогорным и приграничным территориям, имеющим особый статус,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74. Финансовое соглашение, заключенное между Фондом и Банком, может содержать иные положения, регулирующие правоотношения между Фондом и Банком, при этом не противоречащие настоящему Типовому положению и законодательству Кыргызской Республики.</w:t>
      </w:r>
    </w:p>
    <w:p>
      <w:pPr>
        <w:spacing w:after="60"/>
        <w:ind w:firstLine="567"/>
        <w:jc w:val="both"/>
      </w:pPr>
      <w:r>
        <w:rPr>
          <w:rFonts w:ascii="Arial" w:cs="Arial" w:eastAsia="Arial" w:hAnsi="Arial"/>
          <w:sz w:val="24"/>
          <w:szCs w:val="24"/>
        </w:rPr>
        <w:t xml:space="preserve">По решению Наблюдательного совета Фонда Фонд и Банк имеют право заключать дополнительные соглашения к заключенному финансовому соглашению.</w:t>
      </w:r>
    </w:p>
    <w:p>
      <w:pPr>
        <w:spacing w:after="60"/>
        <w:ind w:firstLine="567"/>
        <w:jc w:val="both"/>
      </w:pPr>
      <w:r>
        <w:rPr>
          <w:rFonts w:ascii="Arial" w:cs="Arial" w:eastAsia="Arial" w:hAnsi="Arial"/>
          <w:sz w:val="24"/>
          <w:szCs w:val="24"/>
        </w:rPr>
        <w:t xml:space="preserve">75. Любой спор, противоречия и взаимные претензии между Фондом и Банком, являющиеся следствием или связанные с заключенным финансовым соглашением, разрешаются посредством проведения переговоров или направления претензии. В случае если противоречия и взаимные претензии не могут быть решены посредством переговоров, то они подлежат разрешению в 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наступления форс-мажорных обстоятельств (действия непреодолимой силы) Банк приостанавливает или продлевает исполнение взятых на себя обязательств по заключенному финансовому соглашению на время действия форс-мажора. Факт наступления форс-мажорных обстоятельств оформляется актом между Банком и Фондом, либо другим соответствующим документом. При прекращении действия форс-мажора Банк обязуется в полной мере и в минимальные сроки выполнить обязательства перед Фондом.</w:t>
      </w:r>
    </w:p>
    <w:p>
      <w:pPr>
        <w:spacing w:after="60"/>
        <w:ind w:firstLine="567"/>
        <w:jc w:val="both"/>
      </w:pPr>
      <w:r>
        <w:rPr>
          <w:rFonts w:ascii="Arial" w:cs="Arial" w:eastAsia="Arial" w:hAnsi="Arial"/>
          <w:sz w:val="24"/>
          <w:szCs w:val="24"/>
        </w:rPr>
        <w:t xml:space="preserve">76. В случае неисполнения со стороны Банка обязательств по возврату всей (части) суммы денежных средств, на сумму просроченной задолженности начисляются проценты по ставке 4% годовых с момента просрочки Банком исполнения обязательств по заключенному финансовому соглашению - по день фактического погашения всей суммы просроченной задолженности включительно.</w:t>
      </w:r>
    </w:p>
    <w:p>
      <w:pPr>
        <w:spacing w:after="60"/>
        <w:ind w:firstLine="567"/>
        <w:jc w:val="both"/>
      </w:pPr>
      <w:r>
        <w:rPr>
          <w:rFonts w:ascii="Arial" w:cs="Arial" w:eastAsia="Arial" w:hAnsi="Arial"/>
          <w:sz w:val="24"/>
          <w:szCs w:val="24"/>
        </w:rPr>
        <w:t xml:space="preserve">В случае реорганизации, в том числе ликвидации Фонда в установленном законодательством Кыргызской Республики порядке, право истребования финансовой задолженности Банка перед Фондом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Обязательства исполнителя проекта</w:t>
      </w:r>
    </w:p>
    <w:p>
      <w:pPr>
        <w:spacing w:after="60"/>
        <w:ind w:firstLine="567"/>
        <w:jc w:val="both"/>
      </w:pPr>
      <w:r>
        <w:rPr>
          <w:rFonts w:ascii="Arial" w:cs="Arial" w:eastAsia="Arial" w:hAnsi="Arial"/>
          <w:sz w:val="24"/>
          <w:szCs w:val="24"/>
        </w:rPr>
        <w:t xml:space="preserve">77.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60"/>
        <w:ind w:firstLine="567"/>
        <w:jc w:val="both"/>
      </w:pPr>
      <w:r>
        <w:rPr>
          <w:rFonts w:ascii="Arial" w:cs="Arial" w:eastAsia="Arial" w:hAnsi="Arial"/>
          <w:sz w:val="24"/>
          <w:szCs w:val="24"/>
        </w:rPr>
        <w:t xml:space="preserve">2) обеспечить, при необходимости,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работ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78.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24"/>
          <w:szCs w:val="24"/>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24"/>
          <w:szCs w:val="24"/>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79. Финансовые средства Фонда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средств,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пунктам 101-105 настоящего Типового положения;</w:t>
      </w:r>
    </w:p>
    <w:p>
      <w:pPr>
        <w:spacing w:after="60"/>
        <w:ind w:firstLine="567"/>
        <w:jc w:val="both"/>
      </w:pPr>
      <w:r>
        <w:rPr>
          <w:rFonts w:ascii="Arial" w:cs="Arial" w:eastAsia="Arial" w:hAnsi="Arial"/>
          <w:sz w:val="24"/>
          <w:szCs w:val="24"/>
        </w:rPr>
        <w:t xml:space="preserve">- за счет средств, полученных в результате возврата Банком Фонду основного долга согласно заключенному финансовому соглашению;</w:t>
      </w:r>
    </w:p>
    <w:p>
      <w:pPr>
        <w:spacing w:after="60"/>
        <w:ind w:firstLine="567"/>
        <w:jc w:val="both"/>
      </w:pPr>
      <w:r>
        <w:rPr>
          <w:rFonts w:ascii="Arial" w:cs="Arial" w:eastAsia="Arial" w:hAnsi="Arial"/>
          <w:sz w:val="24"/>
          <w:szCs w:val="24"/>
        </w:rPr>
        <w:t xml:space="preserve">- за счет средств, полученных в результате возврата ОАО "ГИК" Фонду основного долга согласно заключенному финансовому соглашению;</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спонсорской помощи и добровольных взносов;</w:t>
      </w:r>
    </w:p>
    <w:p>
      <w:pPr>
        <w:spacing w:after="60"/>
        <w:ind w:firstLine="567"/>
        <w:jc w:val="both"/>
      </w:pPr>
      <w:r>
        <w:rPr>
          <w:rFonts w:ascii="Arial" w:cs="Arial" w:eastAsia="Arial" w:hAnsi="Arial"/>
          <w:sz w:val="24"/>
          <w:szCs w:val="24"/>
        </w:rPr>
        <w:t xml:space="preserve">- за счет благотворительной или грантовой помощи;</w:t>
      </w:r>
    </w:p>
    <w:p>
      <w:pPr>
        <w:spacing w:after="60"/>
        <w:ind w:firstLine="567"/>
        <w:jc w:val="both"/>
      </w:pPr>
      <w:r>
        <w:rPr>
          <w:rFonts w:ascii="Arial" w:cs="Arial" w:eastAsia="Arial" w:hAnsi="Arial"/>
          <w:sz w:val="24"/>
          <w:szCs w:val="24"/>
        </w:rPr>
        <w:t xml:space="preserve">- за счет отчислений от международных институтов для проведения совместной научно-исследовательской работы;</w:t>
      </w:r>
    </w:p>
    <w:p>
      <w:pPr>
        <w:spacing w:after="60"/>
        <w:ind w:firstLine="567"/>
        <w:jc w:val="both"/>
      </w:pPr>
      <w:r>
        <w:rPr>
          <w:rFonts w:ascii="Arial" w:cs="Arial" w:eastAsia="Arial" w:hAnsi="Arial"/>
          <w:sz w:val="24"/>
          <w:szCs w:val="24"/>
        </w:rPr>
        <w:t xml:space="preserve">- за счет средств, полученных в результате возврата Банком Фонду процентного дохода Фонда согласно заключенному финансовому соглашению;</w:t>
      </w:r>
    </w:p>
    <w:p>
      <w:pPr>
        <w:spacing w:after="60"/>
        <w:ind w:firstLine="567"/>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80. 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200" w:before="200"/>
        <w:jc w:val="center"/>
      </w:pPr>
      <w:r>
        <w:rPr>
          <w:rFonts w:ascii="Arial" w:cs="Arial" w:eastAsia="Arial" w:hAnsi="Arial"/>
          <w:b/>
          <w:bCs/>
          <w:sz w:val="24"/>
          <w:szCs w:val="24"/>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81. Дирекция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14 настоящего Типового положения.</w:t>
      </w:r>
    </w:p>
    <w:p>
      <w:pPr>
        <w:spacing w:after="60"/>
        <w:ind w:firstLine="567"/>
        <w:jc w:val="both"/>
      </w:pPr>
      <w:r>
        <w:rPr>
          <w:rFonts w:ascii="Arial" w:cs="Arial" w:eastAsia="Arial" w:hAnsi="Arial"/>
          <w:sz w:val="24"/>
          <w:szCs w:val="24"/>
        </w:rPr>
        <w:t xml:space="preserve">82. Уполномоченный государственный орган по прогнозированию и исполнению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 не позднее 1 апреля текущего года.</w:t>
      </w:r>
    </w:p>
    <w:p>
      <w:pPr>
        <w:spacing w:after="60"/>
        <w:ind w:firstLine="567"/>
        <w:jc w:val="both"/>
      </w:pPr>
      <w:r>
        <w:rPr>
          <w:rFonts w:ascii="Arial" w:cs="Arial" w:eastAsia="Arial" w:hAnsi="Arial"/>
          <w:sz w:val="24"/>
          <w:szCs w:val="24"/>
        </w:rPr>
        <w:t xml:space="preserve">83.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84. 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60"/>
        <w:ind w:firstLine="567"/>
        <w:jc w:val="both"/>
      </w:pPr>
      <w:r>
        <w:rPr>
          <w:rFonts w:ascii="Arial" w:cs="Arial" w:eastAsia="Arial" w:hAnsi="Arial"/>
          <w:sz w:val="24"/>
          <w:szCs w:val="24"/>
        </w:rPr>
        <w:t xml:space="preserve">85.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86. 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60"/>
        <w:ind w:firstLine="567"/>
        <w:jc w:val="both"/>
      </w:pPr>
      <w:r>
        <w:rPr>
          <w:rFonts w:ascii="Arial" w:cs="Arial" w:eastAsia="Arial" w:hAnsi="Arial"/>
          <w:sz w:val="24"/>
          <w:szCs w:val="24"/>
        </w:rPr>
        <w:t xml:space="preserve">87.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88.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w:t>
      </w:r>
    </w:p>
    <w:p>
      <w:pPr>
        <w:spacing w:after="60"/>
        <w:ind w:firstLine="567"/>
        <w:jc w:val="both"/>
      </w:pPr>
      <w:r>
        <w:rPr>
          <w:rFonts w:ascii="Arial" w:cs="Arial" w:eastAsia="Arial" w:hAnsi="Arial"/>
          <w:sz w:val="24"/>
          <w:szCs w:val="24"/>
        </w:rPr>
        <w:t xml:space="preserve">Финансирование экономических проектов через Банк осуществляется на основе двустороннего договора, подписанного между Банком и субъектом предпринимательства.</w:t>
      </w:r>
    </w:p>
    <w:p>
      <w:pPr>
        <w:spacing w:after="60"/>
        <w:ind w:firstLine="567"/>
        <w:jc w:val="both"/>
      </w:pP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Фондом, ОАО "ГИК" и другими участниками проекта (при наличии).</w:t>
      </w:r>
    </w:p>
    <w:p>
      <w:pPr>
        <w:spacing w:after="60"/>
        <w:ind w:firstLine="567"/>
        <w:jc w:val="both"/>
      </w:pPr>
      <w:r>
        <w:rPr>
          <w:rFonts w:ascii="Arial" w:cs="Arial" w:eastAsia="Arial" w:hAnsi="Arial"/>
          <w:sz w:val="24"/>
          <w:szCs w:val="24"/>
        </w:rPr>
        <w:t xml:space="preserve">89.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экономическому прогнозированию.</w:t>
      </w:r>
    </w:p>
    <w:p>
      <w:pPr>
        <w:spacing w:after="60"/>
        <w:ind w:firstLine="567"/>
        <w:jc w:val="both"/>
      </w:pPr>
      <w:r>
        <w:rPr>
          <w:rFonts w:ascii="Arial" w:cs="Arial" w:eastAsia="Arial" w:hAnsi="Arial"/>
          <w:sz w:val="24"/>
          <w:szCs w:val="24"/>
        </w:rPr>
        <w:t xml:space="preserve">90. Финансирование социальных и инфраструктурных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Средства, предусмотренные для финансирования экономических проектов через Банк, на основании утвержденного Наблюдательным советом Фонда прогнозного объема финансирования экономических проектов через Банк в текущем году, перечисляются на счет Фонда в Банке на основе поданной заявки Фондом в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91. Неосвоенные на конец текущего года остатки средств Фонда в установленном порядке возвращаются в республиканский бюджет и утверждаются как средства соответствующего Фонда в планируемом году.</w:t>
      </w:r>
    </w:p>
    <w:p>
      <w:pPr>
        <w:spacing w:after="60"/>
        <w:ind w:firstLine="567"/>
        <w:jc w:val="both"/>
      </w:pPr>
      <w:r>
        <w:rPr>
          <w:rFonts w:ascii="Arial" w:cs="Arial" w:eastAsia="Arial" w:hAnsi="Arial"/>
          <w:sz w:val="24"/>
          <w:szCs w:val="24"/>
        </w:rPr>
        <w:t xml:space="preserve">Денежные средства Фонда, возвращенные Банком и ОАО "ГИК", являются остатками Фонда в текущем году и утверждаются как средства соответствующего Фонда в планируемом году.</w:t>
      </w:r>
    </w:p>
    <w:p>
      <w:pPr>
        <w:spacing w:after="200" w:before="200"/>
        <w:jc w:val="center"/>
      </w:pPr>
      <w:r>
        <w:rPr>
          <w:rFonts w:ascii="Arial" w:cs="Arial" w:eastAsia="Arial" w:hAnsi="Arial"/>
          <w:b/>
          <w:bCs/>
          <w:sz w:val="24"/>
          <w:szCs w:val="24"/>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92.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93.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94.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95.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96.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97.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98. Отчет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а также в уполномоченный государственный орган по экономическому прогнозированию.</w:t>
      </w:r>
    </w:p>
    <w:p>
      <w:pPr>
        <w:spacing w:after="200" w:before="200"/>
        <w:jc w:val="center"/>
      </w:pPr>
      <w:r>
        <w:rPr>
          <w:rFonts w:ascii="Arial" w:cs="Arial" w:eastAsia="Arial" w:hAnsi="Arial"/>
          <w:b/>
          <w:bCs/>
          <w:sz w:val="24"/>
          <w:szCs w:val="24"/>
        </w:rPr>
        <w:t xml:space="preserve">Глава 8. Особые условия</w:t>
      </w:r>
    </w:p>
    <w:p>
      <w:pPr>
        <w:spacing w:after="200" w:before="200"/>
        <w:jc w:val="center"/>
      </w:pPr>
      <w:r>
        <w:rPr>
          <w:rFonts w:ascii="Arial" w:cs="Arial" w:eastAsia="Arial" w:hAnsi="Arial"/>
          <w:b/>
          <w:bCs/>
          <w:sz w:val="24"/>
          <w:szCs w:val="24"/>
        </w:rPr>
        <w:t xml:space="preserve">§ 1. Условия оплаты труда работников Фондов развития регионов и их штатная численность</w:t>
      </w:r>
    </w:p>
    <w:p>
      <w:pPr>
        <w:spacing w:after="60"/>
        <w:ind w:firstLine="567"/>
        <w:jc w:val="both"/>
      </w:pPr>
      <w:r>
        <w:rPr>
          <w:rFonts w:ascii="Arial" w:cs="Arial" w:eastAsia="Arial" w:hAnsi="Arial"/>
          <w:sz w:val="24"/>
          <w:szCs w:val="24"/>
        </w:rPr>
        <w:t xml:space="preserve">99. Для оплаты труда сотрудников дирекции Фонда устанавливается минимальная базовая ставка в размере 7040 сомов, являющаяся основанием для расчета должностных окладов работников Фонда (далее - должностные оклады), определяемая в соответствии с нормативными правовыми актами Кыргызской Республики в сфере условий оплаты труда работников, не относящихся к категории государственных служащих и занятых в государственных учреждениях.</w:t>
      </w:r>
    </w:p>
    <w:p>
      <w:pPr>
        <w:spacing w:after="60"/>
        <w:ind w:firstLine="567"/>
        <w:jc w:val="both"/>
      </w:pPr>
      <w:r>
        <w:rPr>
          <w:rFonts w:ascii="Arial" w:cs="Arial" w:eastAsia="Arial" w:hAnsi="Arial"/>
          <w:sz w:val="24"/>
          <w:szCs w:val="24"/>
        </w:rPr>
        <w:t xml:space="preserve">100. Должностные оклады формируются из минимальной базовой ставки, коэффициентов кратности к должностным окладам и процентным надбавкам за общую выслугу лет, в том числе с выплатой:</w:t>
      </w:r>
    </w:p>
    <w:p>
      <w:pPr>
        <w:spacing w:after="60"/>
        <w:ind w:firstLine="567"/>
        <w:jc w:val="both"/>
      </w:pPr>
      <w:r>
        <w:rPr>
          <w:rFonts w:ascii="Arial" w:cs="Arial" w:eastAsia="Arial" w:hAnsi="Arial"/>
          <w:sz w:val="24"/>
          <w:szCs w:val="24"/>
        </w:rPr>
        <w:t xml:space="preserve">1) надбавок за проживание и работу в условиях высокогорья и отдаленных труднодоступных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выходе в трудовой отпуск пособия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3) в конце календарного года тринадцатой заработной платы в размере среднемесячного фонда заработной платы.</w:t>
      </w:r>
    </w:p>
    <w:p>
      <w:pPr>
        <w:spacing w:after="120" w:before="200"/>
        <w:ind w:firstLine="567"/>
        <w:jc w:val="both"/>
      </w:pPr>
      <w:r>
        <w:rPr>
          <w:rFonts w:ascii="Arial" w:cs="Arial" w:eastAsia="Arial" w:hAnsi="Arial"/>
          <w:b/>
          <w:bCs/>
          <w:sz w:val="24"/>
          <w:szCs w:val="24"/>
        </w:rPr>
        <w:t xml:space="preserve">Таблица 1. Коэффициенты кратности к должностным окладам, применяемые при определении размеров должностных окладов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54"/>
        <w:gridCol w:w="2095"/>
        <w:gridCol w:w="2095"/>
        <w:gridCol w:w="2095"/>
      </w:tblGrid>
      <w:tr>
        <w:tc>
          <w:tcPr>
            <w:tcW w:type="dxa" w:w="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8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 кратности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120" w:before="200"/>
        <w:ind w:firstLine="567"/>
        <w:jc w:val="both"/>
      </w:pPr>
      <w:r>
        <w:rPr>
          <w:rFonts w:ascii="Arial" w:cs="Arial" w:eastAsia="Arial" w:hAnsi="Arial"/>
          <w:b/>
          <w:bCs/>
          <w:sz w:val="24"/>
          <w:szCs w:val="24"/>
        </w:rPr>
        <w:t xml:space="preserve">Таблица 2. Размеры процентных надбавок за выслугу лет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4696"/>
        <w:gridCol w:w="4696"/>
      </w:tblGrid>
      <w:tr>
        <w:tc>
          <w:tcPr>
            <w:tcW w:type="dxa" w:w="7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4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процентных надбавок, %</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4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120" w:before="200"/>
        <w:ind w:firstLine="567"/>
        <w:jc w:val="both"/>
      </w:pPr>
      <w:r>
        <w:rPr>
          <w:rFonts w:ascii="Arial" w:cs="Arial" w:eastAsia="Arial" w:hAnsi="Arial"/>
          <w:b/>
          <w:bCs/>
          <w:sz w:val="24"/>
          <w:szCs w:val="24"/>
        </w:rPr>
        <w:t xml:space="preserve">Таблица 3. Типовая штатная численность работников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3471"/>
        <w:gridCol w:w="1595"/>
        <w:gridCol w:w="1595"/>
        <w:gridCol w:w="1595"/>
        <w:gridCol w:w="1595"/>
      </w:tblGrid>
      <w:tr>
        <w:tc>
          <w:tcPr>
            <w:tcW w:type="dxa" w:w="3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3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годовом прогнозируемом бюджете Фонда, млн.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менее 50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100</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200</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 (техничка)(*)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 Примечание: штатная единица вводится Фондом при необходимости.</w:t>
      </w:r>
    </w:p>
    <w:p>
      <w:pPr>
        <w:spacing w:after="200" w:before="200"/>
        <w:jc w:val="center"/>
      </w:pPr>
      <w:r>
        <w:rPr>
          <w:rFonts w:ascii="Arial" w:cs="Arial" w:eastAsia="Arial" w:hAnsi="Arial"/>
          <w:b/>
          <w:bCs/>
          <w:sz w:val="24"/>
          <w:szCs w:val="24"/>
        </w:rPr>
        <w:t xml:space="preserve">§ 2. Порядок распределения средств из республиканского бюджета в Фонды развития регионов</w:t>
      </w:r>
    </w:p>
    <w:p>
      <w:pPr>
        <w:spacing w:after="60"/>
        <w:ind w:firstLine="567"/>
        <w:jc w:val="both"/>
      </w:pPr>
      <w:r>
        <w:rPr>
          <w:rFonts w:ascii="Arial" w:cs="Arial" w:eastAsia="Arial" w:hAnsi="Arial"/>
          <w:sz w:val="24"/>
          <w:szCs w:val="24"/>
        </w:rPr>
        <w:t xml:space="preserve">101. Распределение средств из республиканского бюджета осуществляется по двум группам:</w:t>
      </w:r>
    </w:p>
    <w:p>
      <w:pPr>
        <w:spacing w:after="60"/>
        <w:ind w:firstLine="567"/>
        <w:jc w:val="both"/>
      </w:pPr>
      <w:r>
        <w:rPr>
          <w:rFonts w:ascii="Arial" w:cs="Arial" w:eastAsia="Arial" w:hAnsi="Arial"/>
          <w:sz w:val="24"/>
          <w:szCs w:val="24"/>
        </w:rPr>
        <w:t xml:space="preserve">1) по Фондам развития области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60"/>
        <w:ind w:firstLine="567"/>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20000000 (двадцать миллионов) сомов согласно таблице № 4.</w:t>
      </w:r>
    </w:p>
    <w:p>
      <w:pPr>
        <w:spacing w:after="120" w:before="200"/>
        <w:ind w:firstLine="567"/>
        <w:jc w:val="both"/>
      </w:pPr>
      <w:r>
        <w:rPr>
          <w:rFonts w:ascii="Arial" w:cs="Arial" w:eastAsia="Arial" w:hAnsi="Arial"/>
          <w:b/>
          <w:bCs/>
          <w:sz w:val="24"/>
          <w:szCs w:val="24"/>
        </w:rPr>
        <w:t xml:space="preserve">Таблица 4. Размеры средств, выделяемые районным Фондам из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2709"/>
        <w:gridCol w:w="3416"/>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 где имеются города районного значения</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
 (тридцать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r>
        <w:tc>
          <w:tcPr>
            <w:tcW w:type="dxa" w:w="40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20000000
 (двадцать миллионов) сомов</w:t>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102. 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103. Уполномоченный государственный орган по прогнозированию и исполнению бюджета ежемесячно утверждает кассовый план, согласно заявкам Фондов. Фонды открывают кассовый план, согласно представленным заявкам и осуществляют финансирование.</w:t>
      </w:r>
    </w:p>
    <w:p>
      <w:pPr>
        <w:spacing w:after="60"/>
        <w:ind w:firstLine="567"/>
        <w:jc w:val="both"/>
      </w:pPr>
      <w:r>
        <w:rPr>
          <w:rFonts w:ascii="Arial" w:cs="Arial" w:eastAsia="Arial" w:hAnsi="Arial"/>
          <w:sz w:val="24"/>
          <w:szCs w:val="24"/>
        </w:rPr>
        <w:t xml:space="preserve">104. Фонд производит своевременное и полное финансирование расходов за счет средств из республиканского бюджета согласно утвержденной смете расходов.</w:t>
      </w:r>
    </w:p>
    <w:p>
      <w:pPr>
        <w:spacing w:after="60"/>
        <w:ind w:firstLine="567"/>
        <w:jc w:val="both"/>
      </w:pPr>
      <w:r>
        <w:rPr>
          <w:rFonts w:ascii="Arial" w:cs="Arial" w:eastAsia="Arial" w:hAnsi="Arial"/>
          <w:sz w:val="24"/>
          <w:szCs w:val="24"/>
        </w:rPr>
        <w:t xml:space="preserve">105. Остатки средств из республиканского бюджета в Фондах по завершению текущего года возвращаются в республиканский бюджет.</w:t>
      </w:r>
    </w:p>
    <w:p>
      <w:pPr>
        <w:spacing w:after="60"/>
        <w:ind w:firstLine="567"/>
        <w:jc w:val="both"/>
      </w:pP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200" w:before="200"/>
        <w:jc w:val="center"/>
      </w:pPr>
      <w:r>
        <w:rPr>
          <w:rFonts w:ascii="Arial" w:cs="Arial" w:eastAsia="Arial" w:hAnsi="Arial"/>
          <w:b/>
          <w:bCs/>
          <w:sz w:val="24"/>
          <w:szCs w:val="24"/>
        </w:rPr>
        <w:t xml:space="preserve">Глава 9. Конфликт интересов</w:t>
      </w:r>
    </w:p>
    <w:p>
      <w:pPr>
        <w:spacing w:after="60"/>
        <w:ind w:firstLine="567"/>
        <w:jc w:val="both"/>
      </w:pPr>
      <w:r>
        <w:rPr>
          <w:rFonts w:ascii="Arial" w:cs="Arial" w:eastAsia="Arial" w:hAnsi="Arial"/>
          <w:sz w:val="24"/>
          <w:szCs w:val="24"/>
        </w:rPr>
        <w:t xml:space="preserve">106.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w2fyztorm5drskgnadae">
      <w:r>
        <w:rPr>
          <w:rFonts w:ascii="Arial" w:cs="Arial" w:eastAsia="Arial" w:hAnsi="Arial"/>
          <w:color w:val="132D3F"/>
          <w:sz w:val="16"/>
          <w:szCs w:val="16"/>
          <w:u w:val="single"/>
        </w:rPr>
        <w:t xml:space="preserve">dalil.kg/document/159859</w:t>
      </w:r>
    </w:hyperlink>
  </w:p>
  <w:p>
    <w:pPr>
      <w:spacing w:after="0" w:before="40"/>
      <w:jc w:val="center"/>
    </w:pPr>
    <w:hyperlink w:history="1" r:id="rIdelsk3rdsgzhp6xfmyri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4difusscimarhkkj3rst" Type="http://schemas.openxmlformats.org/officeDocument/2006/relationships/hyperlink" Target="https://dalil.kg/document/230014982" TargetMode="External"/><Relationship Id="rIdp3pijlaxizuey8nf1ychr" Type="http://schemas.openxmlformats.org/officeDocument/2006/relationships/hyperlink" Target="https://dalil.kg/document/159858" TargetMode="External"/><Relationship Id="rIdlniuo0k6u4jydwa2wuulk" Type="http://schemas.openxmlformats.org/officeDocument/2006/relationships/hyperlink" Target="https://dalil.kg/document/160518" TargetMode="External"/><Relationship Id="rIdovqkcb3fuwohzflf4pdqg" Type="http://schemas.openxmlformats.org/officeDocument/2006/relationships/hyperlink" Target="https://dalil.kg/document/230011565" TargetMode="External"/><Relationship Id="rId9j1pvcfnin3z9eaqzjoa_" Type="http://schemas.openxmlformats.org/officeDocument/2006/relationships/hyperlink" Target="https://dalil.kg/document/111338" TargetMode="External"/><Relationship Id="rIdzsmdgb1cdwzbzpvh3olgr" Type="http://schemas.openxmlformats.org/officeDocument/2006/relationships/hyperlink" Target="https://dalil.kg/document/111820" TargetMode="External"/><Relationship Id="rIdui8o-5esvfsnvd2ytc9o5" Type="http://schemas.openxmlformats.org/officeDocument/2006/relationships/hyperlink" Target="https://dalil.kg/document/112361" TargetMode="External"/><Relationship Id="rIduh9ds6pvdt_ovprmiy6rx" Type="http://schemas.openxmlformats.org/officeDocument/2006/relationships/hyperlink" Target="https://dalil.kg/document/274" TargetMode="External"/><Relationship Id="rIdke2zqbqiu6mnlafefqn-b" Type="http://schemas.openxmlformats.org/officeDocument/2006/relationships/hyperlink" Target="https://dalil.kg/document/111820" TargetMode="External"/><Relationship Id="rIdpof68chmnh8-ex3cafvr3" Type="http://schemas.openxmlformats.org/officeDocument/2006/relationships/hyperlink" Target="https://dalil.kg/document/111338" TargetMode="External"/><Relationship Id="rIdaifvnz8xhzirv_rrdjkfz" Type="http://schemas.openxmlformats.org/officeDocument/2006/relationships/hyperlink" Target="https://dalil.kg/document/112361" TargetMode="External"/><Relationship Id="rIdoysr10ykfx-nxqfwmexkv" Type="http://schemas.openxmlformats.org/officeDocument/2006/relationships/hyperlink" Target="https://dalil.kg/document/23001156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2fyztorm5drskgnadae" Type="http://schemas.openxmlformats.org/officeDocument/2006/relationships/hyperlink" Target="https://dalil.kg/document/159859" TargetMode="External"/><Relationship Id="rIdelsk3rdsgzhp6xfmyri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2026-09-25T02:36:34.392Z</dcterms:created>
  <dcterms:modified xsi:type="dcterms:W3CDTF">2026-09-25T02:36:34.392Z</dcterms:modified>
</cp:coreProperties>
</file>

<file path=docProps/custom.xml><?xml version="1.0" encoding="utf-8"?>
<Properties xmlns="http://schemas.openxmlformats.org/officeDocument/2006/custom-properties" xmlns:vt="http://schemas.openxmlformats.org/officeDocument/2006/docPropsVTypes"/>
</file>