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26 декабря 2022 года № 714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 внесении изменений в постановление Правительства Кыргызской Республики "Об утверждении Положения по управлению государственными инвестициями" от 28 мая 2019 года </w:t>
      </w:r>
      <w:r>
        <w:rPr>
          <w:rFonts w:ascii="Arial" w:cs="Arial" w:eastAsia="Arial" w:hAnsi="Arial"/>
          <w:sz w:val="28"/>
          <w:szCs w:val="28"/>
        </w:rPr>
        <w:t xml:space="preserve">№</w:t>
      </w:r>
      <w:r>
        <w:rPr>
          <w:rFonts w:ascii="Arial" w:cs="Arial" w:eastAsia="Arial" w:hAnsi="Arial"/>
          <w:sz w:val="28"/>
          <w:szCs w:val="28"/>
        </w:rPr>
        <w:t xml:space="preserve"> 232</w:t>
      </w:r>
    </w:p>
    <w:p>
      <w:pPr>
        <w:spacing w:after="120"/>
        <w:jc w:val="both"/>
      </w:pPr>
      <w:r>
        <w:rPr>
          <w:rFonts w:ascii="Arial" w:cs="Arial" w:eastAsia="Arial" w:hAnsi="Arial"/>
          <w:sz w:val="24"/>
          <w:szCs w:val="24"/>
        </w:rPr>
        <w:t xml:space="preserve">В целях усовершенствования единого процесса определения, отбора, реализации, мониторинга и оценки проектов государственных инвестиций, реализуемых полностью или частично за счет внешних заимствований и грантов на основании международных соглашений Кыргызской Республики, в соответствии со статьями </w:t>
      </w:r>
      <w:hyperlink w:history="1" r:id="rId3knkaeeedtsg2auzemdjr">
        <w:r>
          <w:rPr>
            <w:rFonts w:ascii="Arial" w:cs="Arial" w:eastAsia="Arial" w:hAnsi="Arial"/>
            <w:color w:val="1D4ED8"/>
            <w:sz w:val="24"/>
            <w:szCs w:val="24"/>
            <w:u w:val="single"/>
          </w:rPr>
          <w:t xml:space="preserve">28</w:t>
        </w:r>
      </w:hyperlink>
      <w:r>
        <w:rPr>
          <w:rFonts w:ascii="Arial" w:cs="Arial" w:eastAsia="Arial" w:hAnsi="Arial"/>
          <w:sz w:val="24"/>
          <w:szCs w:val="24"/>
        </w:rPr>
        <w:t xml:space="preserve">, </w:t>
      </w:r>
      <w:hyperlink w:history="1" r:id="rId7zxcannpwv4hpirilr1yy">
        <w:r>
          <w:rPr>
            <w:rFonts w:ascii="Arial" w:cs="Arial" w:eastAsia="Arial" w:hAnsi="Arial"/>
            <w:color w:val="1D4ED8"/>
            <w:sz w:val="24"/>
            <w:szCs w:val="24"/>
            <w:u w:val="single"/>
          </w:rPr>
          <w:t xml:space="preserve">35</w:t>
        </w:r>
      </w:hyperlink>
      <w:r>
        <w:rPr>
          <w:rFonts w:ascii="Arial" w:cs="Arial" w:eastAsia="Arial" w:hAnsi="Arial"/>
          <w:sz w:val="24"/>
          <w:szCs w:val="24"/>
        </w:rPr>
        <w:t xml:space="preserve">, </w:t>
      </w:r>
      <w:hyperlink w:history="1" r:id="rIdbb0d704fbyx1kro3m8mrr">
        <w:r>
          <w:rPr>
            <w:rFonts w:ascii="Arial" w:cs="Arial" w:eastAsia="Arial" w:hAnsi="Arial"/>
            <w:color w:val="1D4ED8"/>
            <w:sz w:val="24"/>
            <w:szCs w:val="24"/>
            <w:u w:val="single"/>
          </w:rPr>
          <w:t xml:space="preserve">62</w:t>
        </w:r>
      </w:hyperlink>
      <w:r>
        <w:rPr>
          <w:rFonts w:ascii="Arial" w:cs="Arial" w:eastAsia="Arial" w:hAnsi="Arial"/>
          <w:sz w:val="24"/>
          <w:szCs w:val="24"/>
        </w:rPr>
        <w:t xml:space="preserve"> и </w:t>
      </w:r>
      <w:hyperlink w:history="1" r:id="rIdn3jktxnvkzuc1p3-vcwk2">
        <w:r>
          <w:rPr>
            <w:rFonts w:ascii="Arial" w:cs="Arial" w:eastAsia="Arial" w:hAnsi="Arial"/>
            <w:color w:val="1D4ED8"/>
            <w:sz w:val="24"/>
            <w:szCs w:val="24"/>
            <w:u w:val="single"/>
          </w:rPr>
          <w:t xml:space="preserve">70</w:t>
        </w:r>
      </w:hyperlink>
      <w:r>
        <w:rPr>
          <w:rFonts w:ascii="Arial" w:cs="Arial" w:eastAsia="Arial" w:hAnsi="Arial"/>
          <w:sz w:val="24"/>
          <w:szCs w:val="24"/>
        </w:rPr>
        <w:t xml:space="preserve"> Бюджетного кодекса Кыргызской Республики, статьями </w:t>
      </w:r>
      <w:hyperlink w:history="1" r:id="rIdyu-hlvac7quodevfuejj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yj1mwdr3t7s6i6k_wr3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w7qkwrkysxpundfnrdmk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hb_bi8u0cgvdpgptf_s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управлению государственными инвестициями" от 28 мая 2019 года </w:t>
      </w:r>
      <w:r>
        <w:rPr>
          <w:rFonts w:ascii="Arial" w:cs="Arial" w:eastAsia="Arial" w:hAnsi="Arial"/>
          <w:sz w:val="24"/>
          <w:szCs w:val="24"/>
        </w:rPr>
        <w:t xml:space="preserve">№</w:t>
      </w:r>
      <w:r>
        <w:rPr>
          <w:rFonts w:ascii="Arial" w:cs="Arial" w:eastAsia="Arial" w:hAnsi="Arial"/>
          <w:sz w:val="24"/>
          <w:szCs w:val="24"/>
        </w:rPr>
        <w:t xml:space="preserve"> 232 следующие изменения:</w:t>
      </w:r>
    </w:p>
    <w:p>
      <w:pPr>
        <w:spacing w:after="120"/>
        <w:jc w:val="both"/>
      </w:pPr>
      <w:r>
        <w:rPr>
          <w:rFonts w:ascii="Arial" w:cs="Arial" w:eastAsia="Arial" w:hAnsi="Arial"/>
          <w:sz w:val="24"/>
          <w:szCs w:val="24"/>
        </w:rPr>
        <w:t xml:space="preserve">в </w:t>
      </w:r>
      <w:hyperlink w:history="1" r:id="rIdgbhhszgds0otjuqqdk3x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по управлению государственными инвестициями, утвержденном вышеуказанным </w:t>
      </w:r>
      <w:hyperlink w:history="1" r:id="rId-ebexj7r74jltqdyzhwl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восьмом пункта 5, пункте 23, абзаце втором пункта 32, пунктах 45, 48, 65, 68, 74, 77, 96, 126 и 147 слово "Правительство" в различных падежах заменить словами "Кабинет Министров" в соответствующих падежах;</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двадцать первый изложить в следующей редакции:</w:t>
      </w:r>
    </w:p>
    <w:p>
      <w:pPr>
        <w:spacing w:after="120"/>
        <w:jc w:val="both"/>
      </w:pPr>
      <w:r>
        <w:rPr>
          <w:rFonts w:ascii="Arial" w:cs="Arial" w:eastAsia="Arial" w:hAnsi="Arial"/>
          <w:sz w:val="24"/>
          <w:szCs w:val="24"/>
        </w:rPr>
        <w:t xml:space="preserve">"- Совет Кабинета Министров Кыргызской Республики по фискальной и инвестиционной политике (далее - Совет) - коллегиальный орган, созданный Кабинетом Министров Кыргызской Республики в значении, определенном в Бюджетном кодексе Кыргызской Республики;";</w:t>
      </w:r>
    </w:p>
    <w:p>
      <w:pPr>
        <w:spacing w:after="120"/>
        <w:jc w:val="both"/>
      </w:pPr>
      <w:r>
        <w:rPr>
          <w:rFonts w:ascii="Arial" w:cs="Arial" w:eastAsia="Arial" w:hAnsi="Arial"/>
          <w:sz w:val="24"/>
          <w:szCs w:val="24"/>
        </w:rPr>
        <w:t xml:space="preserve">дополнить абзацем двадцать шестым следующего содержания:</w:t>
      </w:r>
    </w:p>
    <w:p>
      <w:pPr>
        <w:spacing w:after="120"/>
        <w:jc w:val="both"/>
      </w:pPr>
      <w:r>
        <w:rPr>
          <w:rFonts w:ascii="Arial" w:cs="Arial" w:eastAsia="Arial" w:hAnsi="Arial"/>
          <w:sz w:val="24"/>
          <w:szCs w:val="24"/>
        </w:rPr>
        <w:t xml:space="preserve">"- цели устойчивого развития - это комплекс из 17 целей и 169 задач, стоящих перед международным сообществом, представляющий собой меры, ориентированные на обеспечение равномерного прогресса в трех основных аспектах устойчивого развития: экономического роста, социальной интеграции и охраны окружающей среды.";</w:t>
      </w:r>
    </w:p>
    <w:p>
      <w:pPr>
        <w:spacing w:after="120"/>
        <w:jc w:val="both"/>
      </w:pPr>
      <w:r>
        <w:rPr>
          <w:rFonts w:ascii="Arial" w:cs="Arial" w:eastAsia="Arial" w:hAnsi="Arial"/>
          <w:sz w:val="24"/>
          <w:szCs w:val="24"/>
        </w:rPr>
        <w:t xml:space="preserve">- пункт 8 дополнить предложением вторым следующего содержания: "При внесении на рассмотрение проектной заявки в уполномоченный государственный орган по экономическому прогнозированию необходимо предоставить копию приказа об утверждении координатора проекта.";</w:t>
      </w:r>
    </w:p>
    <w:p>
      <w:pPr>
        <w:spacing w:after="120"/>
        <w:jc w:val="both"/>
      </w:pPr>
      <w:r>
        <w:rPr>
          <w:rFonts w:ascii="Arial" w:cs="Arial" w:eastAsia="Arial" w:hAnsi="Arial"/>
          <w:sz w:val="24"/>
          <w:szCs w:val="24"/>
        </w:rPr>
        <w:t xml:space="preserve">- в пунктах 11, 14, 25 и 27 слова "в соответствии с законодательством Кыргызской Республики о грантовой и технической помощи" исключить;</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Уполномоченный государственный орган по экономическому прогнозированию в месячный срок проводит оценку проектной заявки на предмет соответствия национальным стратегическим документам, программам Кабинета Министров Кыргызской Республики и экономической целесообразности проекта.";</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В случае возвращения одним или обоими уполномоченными органами проектной заявки на доработку исполнительное агентство может повторно внести доработанную проектную заявку на рассмотрение уполномоченных органов в соответствии с настоящим Положением. При возврате проектной заявки исполнительному агентству на доработку более трех раз проектная заявка по инициируемому проекту повторно к рассмотрению не принимается. При этом вся ответственность за несоответствие проектной заявки ложится на исполнительное агентство.";</w:t>
      </w:r>
    </w:p>
    <w:p>
      <w:pPr>
        <w:spacing w:after="120"/>
        <w:jc w:val="both"/>
      </w:pPr>
      <w:r>
        <w:rPr>
          <w:rFonts w:ascii="Arial" w:cs="Arial" w:eastAsia="Arial" w:hAnsi="Arial"/>
          <w:sz w:val="24"/>
          <w:szCs w:val="24"/>
        </w:rPr>
        <w:t xml:space="preserve">- пункт 33 изложить в следующей редакции:</w:t>
      </w:r>
    </w:p>
    <w:p>
      <w:pPr>
        <w:spacing w:after="120"/>
        <w:jc w:val="both"/>
      </w:pPr>
      <w:r>
        <w:rPr>
          <w:rFonts w:ascii="Arial" w:cs="Arial" w:eastAsia="Arial" w:hAnsi="Arial"/>
          <w:sz w:val="24"/>
          <w:szCs w:val="24"/>
        </w:rPr>
        <w:t xml:space="preserve">"33. Уполномоченный государственный орган по экономическому прогнозированию проводит свою оценку документации по проекту или технико-экономического обоснования в срок не более одного месяца на предмет соответствия национальным стратегическим документам, программам Кабинета Министров Кыргызской Республики и экономической целесообразности по методике, разрабатываемой и утверждаемой уполномоченным государственным органом по экономическому прогнозированию.";</w:t>
      </w:r>
    </w:p>
    <w:p>
      <w:pPr>
        <w:spacing w:after="120"/>
        <w:jc w:val="both"/>
      </w:pPr>
      <w:r>
        <w:rPr>
          <w:rFonts w:ascii="Arial" w:cs="Arial" w:eastAsia="Arial" w:hAnsi="Arial"/>
          <w:sz w:val="24"/>
          <w:szCs w:val="24"/>
        </w:rPr>
        <w:t xml:space="preserve">- пункт 34 после слов "технико-экономического обоснования" дополнить словами "за счет средств донора или других источников, не являющихся средствами республиканского бюджета";</w:t>
      </w:r>
    </w:p>
    <w:p>
      <w:pPr>
        <w:spacing w:after="120"/>
        <w:jc w:val="both"/>
      </w:pPr>
      <w:r>
        <w:rPr>
          <w:rFonts w:ascii="Arial" w:cs="Arial" w:eastAsia="Arial" w:hAnsi="Arial"/>
          <w:sz w:val="24"/>
          <w:szCs w:val="24"/>
        </w:rPr>
        <w:t xml:space="preserve">- абзац первый пункта 42 изложить в следующей редакции:</w:t>
      </w:r>
    </w:p>
    <w:p>
      <w:pPr>
        <w:spacing w:after="120"/>
        <w:jc w:val="both"/>
      </w:pPr>
      <w:r>
        <w:rPr>
          <w:rFonts w:ascii="Arial" w:cs="Arial" w:eastAsia="Arial" w:hAnsi="Arial"/>
          <w:sz w:val="24"/>
          <w:szCs w:val="24"/>
        </w:rPr>
        <w:t xml:space="preserve">"42. Совет по результатам рассмотрения проекта в очном или заочном формате может выносить следующие решения:";</w:t>
      </w:r>
    </w:p>
    <w:p>
      <w:pPr>
        <w:spacing w:after="120"/>
        <w:jc w:val="both"/>
      </w:pPr>
      <w:r>
        <w:rPr>
          <w:rFonts w:ascii="Arial" w:cs="Arial" w:eastAsia="Arial" w:hAnsi="Arial"/>
          <w:sz w:val="24"/>
          <w:szCs w:val="24"/>
        </w:rPr>
        <w:t xml:space="preserve">- в пунктах 46, 50, 51 и 54 слова "Аппарат Правительства" и "Правительство" в различных падежах заменить словами "Администрация Президента" и "Кабинет Министров" в соответствующих падежах;</w:t>
      </w:r>
    </w:p>
    <w:p>
      <w:pPr>
        <w:spacing w:after="120"/>
        <w:jc w:val="both"/>
      </w:pPr>
      <w:r>
        <w:rPr>
          <w:rFonts w:ascii="Arial" w:cs="Arial" w:eastAsia="Arial" w:hAnsi="Arial"/>
          <w:sz w:val="24"/>
          <w:szCs w:val="24"/>
        </w:rPr>
        <w:t xml:space="preserve">- дополнить пунктом 57</w:t>
      </w:r>
      <w:r>
        <w:rPr>
          <w:rFonts w:ascii="Arial" w:cs="Arial" w:eastAsia="Arial" w:hAnsi="Arial"/>
          <w:sz w:val="24"/>
          <w:szCs w:val="24"/>
        </w:rPr>
        <w:t xml:space="preserve">-</w:t>
      </w:r>
      <w:r>
        <w:rPr>
          <w:rFonts w:ascii="Arial" w:cs="Arial" w:eastAsia="Arial" w:hAnsi="Arial"/>
          <w:sz w:val="24"/>
          <w:szCs w:val="24"/>
        </w:rPr>
        <w:t xml:space="preserve">1 следующего содержания:</w:t>
      </w:r>
    </w:p>
    <w:p>
      <w:pPr>
        <w:spacing w:after="120"/>
        <w:jc w:val="both"/>
      </w:pPr>
      <w:r>
        <w:rPr>
          <w:rFonts w:ascii="Arial" w:cs="Arial" w:eastAsia="Arial" w:hAnsi="Arial"/>
          <w:sz w:val="24"/>
          <w:szCs w:val="24"/>
        </w:rPr>
        <w:t xml:space="preserve">"57</w:t>
      </w:r>
      <w:r>
        <w:rPr>
          <w:rFonts w:ascii="Arial" w:cs="Arial" w:eastAsia="Arial" w:hAnsi="Arial"/>
          <w:sz w:val="24"/>
          <w:szCs w:val="24"/>
        </w:rPr>
        <w:t xml:space="preserve">-1.</w:t>
      </w:r>
      <w:r>
        <w:rPr>
          <w:rFonts w:ascii="Arial" w:cs="Arial" w:eastAsia="Arial" w:hAnsi="Arial"/>
          <w:sz w:val="24"/>
          <w:szCs w:val="24"/>
        </w:rPr>
        <w:t xml:space="preserve"> В случае если при формировании республиканского бюджета на соответствующие годы соглашение о финансировании было подписано, уполномоченный государственный орган по прогнозированию и исполнению бюджета включает в бюджет государственных инвестиций на соответствующие годы строку по проекту с нулевым бюджетом.";</w:t>
      </w:r>
    </w:p>
    <w:p>
      <w:pPr>
        <w:spacing w:after="120"/>
        <w:jc w:val="both"/>
      </w:pPr>
      <w:r>
        <w:rPr>
          <w:rFonts w:ascii="Arial" w:cs="Arial" w:eastAsia="Arial" w:hAnsi="Arial"/>
          <w:sz w:val="24"/>
          <w:szCs w:val="24"/>
        </w:rPr>
        <w:t xml:space="preserve">- пункт 69 дополнить предложением вторым следующего содержания: "Секретариат наблюдательного совета в 5-дневный срок направляет в уполномоченный государственный орган по прогнозированию и исполнению бюджета и уполномоченный государственный орган по экономическому прогнозированию подписанный протокол заседания наблюдательного совета.";</w:t>
      </w:r>
    </w:p>
    <w:p>
      <w:pPr>
        <w:spacing w:after="120"/>
        <w:jc w:val="both"/>
      </w:pPr>
      <w:r>
        <w:rPr>
          <w:rFonts w:ascii="Arial" w:cs="Arial" w:eastAsia="Arial" w:hAnsi="Arial"/>
          <w:sz w:val="24"/>
          <w:szCs w:val="24"/>
        </w:rPr>
        <w:t xml:space="preserve">- абзац двадцатый пункта 73 изложить в следующей редакции:</w:t>
      </w:r>
    </w:p>
    <w:p>
      <w:pPr>
        <w:spacing w:after="120"/>
        <w:jc w:val="both"/>
      </w:pPr>
      <w:r>
        <w:rPr>
          <w:rFonts w:ascii="Arial" w:cs="Arial" w:eastAsia="Arial" w:hAnsi="Arial"/>
          <w:sz w:val="24"/>
          <w:szCs w:val="24"/>
        </w:rPr>
        <w:t xml:space="preserve">"- организация регулярных встреч с донорами по обсуждению вопросов реализации проектов при уведомлении уполномоченного государственного органа по прогнозированию и исполнению бюджета. На данные встречи приглашаются представители уполномоченного государственного органа по прогнозированию и исполнению бюджета (по согласованию), уполномоченного государственного органа по экономическому прогнозированию (по согласованию);";</w:t>
      </w:r>
    </w:p>
    <w:p>
      <w:pPr>
        <w:spacing w:after="120"/>
        <w:jc w:val="both"/>
      </w:pPr>
      <w:r>
        <w:rPr>
          <w:rFonts w:ascii="Arial" w:cs="Arial" w:eastAsia="Arial" w:hAnsi="Arial"/>
          <w:sz w:val="24"/>
          <w:szCs w:val="24"/>
        </w:rPr>
        <w:t xml:space="preserve">- дополнить пунктом 77</w:t>
      </w:r>
      <w:r>
        <w:rPr>
          <w:rFonts w:ascii="Arial" w:cs="Arial" w:eastAsia="Arial" w:hAnsi="Arial"/>
          <w:sz w:val="24"/>
          <w:szCs w:val="24"/>
        </w:rPr>
        <w:t xml:space="preserve">-</w:t>
      </w:r>
      <w:r>
        <w:rPr>
          <w:rFonts w:ascii="Arial" w:cs="Arial" w:eastAsia="Arial" w:hAnsi="Arial"/>
          <w:sz w:val="24"/>
          <w:szCs w:val="24"/>
        </w:rPr>
        <w:t xml:space="preserve">1 следующего содержания: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77-1</w:t>
      </w:r>
      <w:r>
        <w:rPr>
          <w:rFonts w:ascii="Arial" w:cs="Arial" w:eastAsia="Arial" w:hAnsi="Arial"/>
          <w:sz w:val="24"/>
          <w:szCs w:val="24"/>
        </w:rPr>
        <w:t xml:space="preserve">. Контракты с сотрудниками отдела реализации проекта заключаются на 12 месяцев с возможностью дальнейшего продления. Исполнительное агентство уведомляет уполномоченный государственный орган по прогнозированию и исполнению бюджета о продлении контракта.";</w:t>
      </w:r>
    </w:p>
    <w:p>
      <w:pPr>
        <w:spacing w:after="120"/>
        <w:jc w:val="both"/>
      </w:pPr>
      <w:r>
        <w:rPr>
          <w:rFonts w:ascii="Arial" w:cs="Arial" w:eastAsia="Arial" w:hAnsi="Arial"/>
          <w:sz w:val="24"/>
          <w:szCs w:val="24"/>
        </w:rPr>
        <w:t xml:space="preserve">- в абзаце десятом пункта 79 слова "информационную систему управления внешней помощью" заменить словами "автоматизированную систему учета государственных инвестиций";</w:t>
      </w:r>
    </w:p>
    <w:p>
      <w:pPr>
        <w:spacing w:after="120"/>
        <w:jc w:val="both"/>
      </w:pPr>
      <w:r>
        <w:rPr>
          <w:rFonts w:ascii="Arial" w:cs="Arial" w:eastAsia="Arial" w:hAnsi="Arial"/>
          <w:sz w:val="24"/>
          <w:szCs w:val="24"/>
        </w:rPr>
        <w:t xml:space="preserve">- дополнить пунктом 91</w:t>
      </w:r>
      <w:r>
        <w:rPr>
          <w:rFonts w:ascii="Arial" w:cs="Arial" w:eastAsia="Arial" w:hAnsi="Arial"/>
          <w:sz w:val="24"/>
          <w:szCs w:val="24"/>
        </w:rPr>
        <w:t xml:space="preserve">-</w:t>
      </w:r>
      <w:r>
        <w:rPr>
          <w:rFonts w:ascii="Arial" w:cs="Arial" w:eastAsia="Arial" w:hAnsi="Arial"/>
          <w:sz w:val="24"/>
          <w:szCs w:val="24"/>
        </w:rPr>
        <w:t xml:space="preserve">1 следующего содержания:</w:t>
      </w:r>
    </w:p>
    <w:p>
      <w:pPr>
        <w:spacing w:after="120"/>
        <w:jc w:val="both"/>
      </w:pPr>
      <w:r>
        <w:rPr>
          <w:rFonts w:ascii="Arial" w:cs="Arial" w:eastAsia="Arial" w:hAnsi="Arial"/>
          <w:sz w:val="24"/>
          <w:szCs w:val="24"/>
        </w:rPr>
        <w:t xml:space="preserve">"91</w:t>
      </w:r>
      <w:r>
        <w:rPr>
          <w:rFonts w:ascii="Arial" w:cs="Arial" w:eastAsia="Arial" w:hAnsi="Arial"/>
          <w:sz w:val="24"/>
          <w:szCs w:val="24"/>
        </w:rPr>
        <w:t xml:space="preserve">-</w:t>
      </w:r>
      <w:r>
        <w:rPr>
          <w:rFonts w:ascii="Arial" w:cs="Arial" w:eastAsia="Arial" w:hAnsi="Arial"/>
          <w:sz w:val="24"/>
          <w:szCs w:val="24"/>
        </w:rPr>
        <w:t xml:space="preserve">1. В случае ненадлежащего освоения бюджета (менее 80%) на конец первого полугодия по итогам фактического исполнения утвержденного годового бюджета за первое полугодие уполномоченный государственный орган по прогнозированию и исполнению бюджета вправе вынести вопрос о персональной ответственности руководителей, координаторов проектов исполнительных и реализующих агентств, сотрудников отделов реализации проектов на заседание Совета.";</w:t>
      </w:r>
    </w:p>
    <w:p>
      <w:pPr>
        <w:spacing w:after="120"/>
        <w:jc w:val="both"/>
      </w:pPr>
      <w:r>
        <w:rPr>
          <w:rFonts w:ascii="Arial" w:cs="Arial" w:eastAsia="Arial" w:hAnsi="Arial"/>
          <w:sz w:val="24"/>
          <w:szCs w:val="24"/>
        </w:rPr>
        <w:t xml:space="preserve">- дополнить пунктом 95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"95</w:t>
      </w:r>
      <w:r>
        <w:rPr>
          <w:rFonts w:ascii="Arial" w:cs="Arial" w:eastAsia="Arial" w:hAnsi="Arial"/>
          <w:sz w:val="24"/>
          <w:szCs w:val="24"/>
        </w:rPr>
        <w:t xml:space="preserve">-1. </w:t>
      </w:r>
      <w:r>
        <w:rPr>
          <w:rFonts w:ascii="Arial" w:cs="Arial" w:eastAsia="Arial" w:hAnsi="Arial"/>
          <w:sz w:val="24"/>
          <w:szCs w:val="24"/>
        </w:rPr>
        <w:t xml:space="preserve">В случае образования любого непредвиденного дохода в рамках реализации проекта поступившие средства в полном объеме должны быть перечислены в республиканский бюджет по завершению проекта.";</w:t>
      </w:r>
    </w:p>
    <w:p>
      <w:pPr>
        <w:spacing w:after="120"/>
        <w:jc w:val="both"/>
      </w:pPr>
      <w:r>
        <w:rPr>
          <w:rFonts w:ascii="Arial" w:cs="Arial" w:eastAsia="Arial" w:hAnsi="Arial"/>
          <w:sz w:val="24"/>
          <w:szCs w:val="24"/>
        </w:rPr>
        <w:t xml:space="preserve">- дополнить пунктом 100-1 следующего содержания:</w:t>
      </w:r>
    </w:p>
    <w:p>
      <w:pPr>
        <w:spacing w:after="120"/>
        <w:jc w:val="both"/>
      </w:pPr>
      <w:r>
        <w:rPr>
          <w:rFonts w:ascii="Arial" w:cs="Arial" w:eastAsia="Arial" w:hAnsi="Arial"/>
          <w:sz w:val="24"/>
          <w:szCs w:val="24"/>
        </w:rPr>
        <w:t xml:space="preserve">"100-1. Конкурсная комиссия исполнительного агентства своим протоколом заседания утверждает техническое задание и квалификационные требования по согласованию с донором для проведения закупок, найма сотрудников в отдел реализации проекта с указанием методов отбора/закупок, критериев отбора и их ранжирования.";</w:t>
      </w:r>
    </w:p>
    <w:p>
      <w:pPr>
        <w:spacing w:after="120"/>
        <w:jc w:val="both"/>
      </w:pPr>
      <w:r>
        <w:rPr>
          <w:rFonts w:ascii="Arial" w:cs="Arial" w:eastAsia="Arial" w:hAnsi="Arial"/>
          <w:sz w:val="24"/>
          <w:szCs w:val="24"/>
        </w:rPr>
        <w:t xml:space="preserve">- в пункте 102 слово "одиннадцати" заменить словом "девяти";</w:t>
      </w:r>
    </w:p>
    <w:p>
      <w:pPr>
        <w:spacing w:after="120"/>
        <w:jc w:val="both"/>
      </w:pPr>
      <w:r>
        <w:rPr>
          <w:rFonts w:ascii="Arial" w:cs="Arial" w:eastAsia="Arial" w:hAnsi="Arial"/>
          <w:sz w:val="24"/>
          <w:szCs w:val="24"/>
        </w:rPr>
        <w:t xml:space="preserve">- в пункте 110 слово "Премьер-министра" заменить словами "Председателя Кабинета Министров";</w:t>
      </w:r>
    </w:p>
    <w:p>
      <w:pPr>
        <w:spacing w:after="120"/>
        <w:jc w:val="both"/>
      </w:pPr>
      <w:r>
        <w:rPr>
          <w:rFonts w:ascii="Arial" w:cs="Arial" w:eastAsia="Arial" w:hAnsi="Arial"/>
          <w:sz w:val="24"/>
          <w:szCs w:val="24"/>
        </w:rPr>
        <w:t xml:space="preserve">- пункт 116 изложить в следующей редакции:</w:t>
      </w:r>
    </w:p>
    <w:p>
      <w:pPr>
        <w:spacing w:after="120"/>
        <w:jc w:val="both"/>
      </w:pPr>
      <w:r>
        <w:rPr>
          <w:rFonts w:ascii="Arial" w:cs="Arial" w:eastAsia="Arial" w:hAnsi="Arial"/>
          <w:sz w:val="24"/>
          <w:szCs w:val="24"/>
        </w:rPr>
        <w:t xml:space="preserve">"116. Исполнительное агентство ежеквартально, не позднее 25 числа месяца, следующего за отчетным периодом, готовит и представляет (в электронном и печатном виде) уполномоченному государственному органу по прогнозированию и исполнению бюджета и уполномоченному государственному органу по экономическому прогнозированию краткий отчет о реализации проекта, стандартная форма которого приведена в приложении 3 к настоящему Положению. Координатор проекта несет персональную ответственность за некачественное и несвоевременное представление отчета о реализации проекта.";</w:t>
      </w:r>
    </w:p>
    <w:p>
      <w:pPr>
        <w:spacing w:after="120"/>
        <w:jc w:val="both"/>
      </w:pPr>
      <w:r>
        <w:rPr>
          <w:rFonts w:ascii="Arial" w:cs="Arial" w:eastAsia="Arial" w:hAnsi="Arial"/>
          <w:sz w:val="24"/>
          <w:szCs w:val="24"/>
        </w:rPr>
        <w:t xml:space="preserve">- дополнить пунктами 116-1 и 116-2 следующего содержания:</w:t>
      </w:r>
    </w:p>
    <w:p>
      <w:pPr>
        <w:spacing w:after="120"/>
        <w:jc w:val="both"/>
      </w:pPr>
      <w:r>
        <w:rPr>
          <w:rFonts w:ascii="Arial" w:cs="Arial" w:eastAsia="Arial" w:hAnsi="Arial"/>
          <w:sz w:val="24"/>
          <w:szCs w:val="24"/>
        </w:rPr>
        <w:t xml:space="preserve">"116-1. В случае представления отчета исполнительным агентством в неполном объеме отчет будет считаться не представленным.</w:t>
      </w:r>
    </w:p>
    <w:p>
      <w:pPr>
        <w:spacing w:after="120"/>
        <w:jc w:val="both"/>
      </w:pPr>
      <w:r>
        <w:rPr>
          <w:rFonts w:ascii="Arial" w:cs="Arial" w:eastAsia="Arial" w:hAnsi="Arial"/>
          <w:sz w:val="24"/>
          <w:szCs w:val="24"/>
        </w:rPr>
        <w:t xml:space="preserve">116-2. В случае представления отчета в неполном объеме или непредставлении отчета более 2-х раз уполномоченный орган по прогнозированию и исполнению бюджета уведомляет Администрацию Президента Кыргызской Республики о ходе реализации проекта исполнительным агентством, отделом реализации проекта и ставит вопрос о дисциплинарном взыскании в отношении ответственных сотрудников.";</w:t>
      </w:r>
    </w:p>
    <w:p>
      <w:pPr>
        <w:spacing w:after="120"/>
        <w:jc w:val="both"/>
      </w:pPr>
      <w:r>
        <w:rPr>
          <w:rFonts w:ascii="Arial" w:cs="Arial" w:eastAsia="Arial" w:hAnsi="Arial"/>
          <w:sz w:val="24"/>
          <w:szCs w:val="24"/>
        </w:rPr>
        <w:t xml:space="preserve">- дополнить пунктом 124-1 следующего содержания:</w:t>
      </w:r>
    </w:p>
    <w:p>
      <w:pPr>
        <w:spacing w:after="120"/>
        <w:jc w:val="both"/>
      </w:pPr>
      <w:r>
        <w:rPr>
          <w:rFonts w:ascii="Arial" w:cs="Arial" w:eastAsia="Arial" w:hAnsi="Arial"/>
          <w:sz w:val="24"/>
          <w:szCs w:val="24"/>
        </w:rPr>
        <w:t xml:space="preserve">"124-1. Координатор несет персональную ответственность за некачественное и несвоевременное представление отчета о завершении проекта.";</w:t>
      </w:r>
    </w:p>
    <w:p>
      <w:pPr>
        <w:spacing w:after="120"/>
        <w:jc w:val="both"/>
      </w:pPr>
      <w:r>
        <w:rPr>
          <w:rFonts w:ascii="Arial" w:cs="Arial" w:eastAsia="Arial" w:hAnsi="Arial"/>
          <w:sz w:val="24"/>
          <w:szCs w:val="24"/>
        </w:rPr>
        <w:t xml:space="preserve">- дополнить пунктом 142-1 следующего содержания:</w:t>
      </w:r>
    </w:p>
    <w:p>
      <w:pPr>
        <w:spacing w:after="120"/>
        <w:jc w:val="both"/>
      </w:pPr>
      <w:r>
        <w:rPr>
          <w:rFonts w:ascii="Arial" w:cs="Arial" w:eastAsia="Arial" w:hAnsi="Arial"/>
          <w:sz w:val="24"/>
          <w:szCs w:val="24"/>
        </w:rPr>
        <w:t xml:space="preserve">"142-1. Координатор несет персональную ответственность за некачественное и несвоевременное представление отчета о результатах мониторинга процесса производства продукции/услуг и/или оценки социально-экономического воздействия в постпроектный период.";</w:t>
      </w:r>
    </w:p>
    <w:p>
      <w:pPr>
        <w:spacing w:after="120"/>
        <w:jc w:val="both"/>
      </w:pPr>
      <w:r>
        <w:rPr>
          <w:rFonts w:ascii="Arial" w:cs="Arial" w:eastAsia="Arial" w:hAnsi="Arial"/>
          <w:sz w:val="24"/>
          <w:szCs w:val="24"/>
        </w:rPr>
        <w:t xml:space="preserve">- приложения </w:t>
      </w:r>
      <w:hyperlink w:history="1" r:id="rId6_djkhkkdj2kjbooggzte">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zs4pxaeub2a-cvoud0n9w">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вышеуказанному Положению изложить в редакции согласно приложениям </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13 января 2023 года №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gt-hzlbexpxbqj3kqegc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проектной заявки и инструкция по заполнению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Краткая информация о проекте</w:t>
            </w:r>
          </w:p>
          <w:p>
            <w:pPr>
              <w:jc w:val="left"/>
            </w:pPr>
            <w:r>
              <w:rPr>
                <w:rFonts w:ascii="Arial" w:cs="Arial" w:eastAsia="Arial" w:hAnsi="Arial"/>
                <w:sz w:val="24"/>
                <w:szCs w:val="24"/>
              </w:rPr>
              <w:t xml:space="preserve">Краткая информация для лиц, принимающих решения. Раздел предпочтительно заполнить после завершения заполнения других, более детальных разделов (разделы 2-4). Незаполненные ячейки не допускаются, если какой-то раздел не актуален для данного проекта, делается пометка "н/а" - неактуально</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Наименование инициатора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Наименование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Донор и условия предоставления финансовых средств</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Наименование исполнительного агентства - государственного органа Кыргызской Республики</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Физическое описание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которая дает полное описание проекта. Например: строительство (или реабилитация) 10 км двухполосной автомобильной дороги между [населенный пункт] и [населенный пункт]. Необходима информация/оценка о текущем физическом/техническом состоянии объекта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Местоположение</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географическое расположение объекта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Общая стоимость реализации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общую сумму капитальных расходов на реализацию проекта, которая включает все статьи расходов, необходимых для ввода объекта в эксплуатацию (или иной формы завершения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Предполагаемая дата начала проекта (месяц/год)</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Приблизительная дата начала эксплуатации завершенного объекта (активов, созданных в результате проекта) (месяц/год)</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 которую ожидается начало обслуживания активов, созданных в результате проекта, и/или начало производства этими активами продукции/услуг</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Обоснование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Необходимость реализации проекта (с точки зрения проблемы/вопросов, подлежащих решению)</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Максимально полно описать суть и масштаб проблемы, которую предполагается решить при помощи проекта, и каким образом будет решаться эта проблема. Необходим анализ причин, из-за которых эта проблема не может быть решена другими способами. Объяснить отсутствие эффективных и действенных альтернатив решения проблемы или отсутствие в достаточном объеме замещающей продукции (работ и услуг), производимой иными (в т.ч. частными) организациями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Схожие текущие или уже реализованные проекты</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и описать схожие проекты, реализованные за последние 5 лет. Обязательно привести краткое описание результатов проектов, достаточное для того, чтобы понять насколько они были успешными. Указываются не только проекты, реализованные до конца, но и проекты, которые были приостановлены или отменены в процессе реализации, с указанием причин приостановки или отмены</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Последствия, в случае если предложенный проект не будет реализован</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что произойдет, если проект не будет реализован, последствия. Наступят ли последствия немедленно, проявятся ли последствия в среднесрочной и долгосрочной перспективе. Объяснить, какими они будут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 Цели и задачи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Цели и задачи должны быть:</w:t>
            </w:r>
          </w:p>
          <w:p>
            <w:pPr>
              <w:jc w:val="left"/>
            </w:pPr>
            <w:r>
              <w:rPr>
                <w:rFonts w:ascii="Arial" w:cs="Arial" w:eastAsia="Arial" w:hAnsi="Arial"/>
                <w:sz w:val="24"/>
                <w:szCs w:val="24"/>
              </w:rPr>
              <w:t xml:space="preserve">- максимально конкретизированными и относиться к решению проблемы (п.2.1);</w:t>
            </w:r>
          </w:p>
          <w:p>
            <w:pPr>
              <w:jc w:val="left"/>
            </w:pPr>
            <w:r>
              <w:rPr>
                <w:rFonts w:ascii="Arial" w:cs="Arial" w:eastAsia="Arial" w:hAnsi="Arial"/>
                <w:sz w:val="24"/>
                <w:szCs w:val="24"/>
              </w:rPr>
              <w:t xml:space="preserve">- измеримыми</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 Целевой бенефициар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w:t>
            </w:r>
          </w:p>
          <w:p>
            <w:pPr>
              <w:jc w:val="left"/>
            </w:pPr>
            <w:r>
              <w:rPr>
                <w:rFonts w:ascii="Arial" w:cs="Arial" w:eastAsia="Arial" w:hAnsi="Arial"/>
                <w:sz w:val="24"/>
                <w:szCs w:val="24"/>
              </w:rPr>
              <w:t xml:space="preserve">- основных и косвенных (если таковые имеются) бенефициаров проекта, с указанием территориальной принадлежности (если применимо);</w:t>
            </w:r>
          </w:p>
          <w:p>
            <w:pPr>
              <w:jc w:val="left"/>
            </w:pPr>
            <w:r>
              <w:rPr>
                <w:rFonts w:ascii="Arial" w:cs="Arial" w:eastAsia="Arial" w:hAnsi="Arial"/>
                <w:sz w:val="24"/>
                <w:szCs w:val="24"/>
              </w:rPr>
              <w:t xml:space="preserve">- описать, какие конкретные выгоды они получат в измеримых показателях. По возможности, измеряемая (оцениваемая) польза должна соответствовать категориям статистической отчетности. Исторические данные, используемые для демонстрации динамики, если они доступны, будут рассмотрены как преимущество при оценке проектной заявки.</w:t>
            </w:r>
          </w:p>
          <w:p>
            <w:pPr>
              <w:jc w:val="left"/>
            </w:pPr>
            <w:r>
              <w:rPr>
                <w:rFonts w:ascii="Arial" w:cs="Arial" w:eastAsia="Arial" w:hAnsi="Arial"/>
                <w:sz w:val="24"/>
                <w:szCs w:val="24"/>
              </w:rPr>
              <w:t xml:space="preserve">Приведенные данные должны убедительно свидетельствовать о наличии прямых и косвенных бенефициаров проекта и потребителей продукции/услуг, создаваемых в результате реализации проекта, в количестве, достаточном для обеспечения проектируемого (нормативного) уровня использования проектной мощности объекта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 Ожидаемые результаты проекта</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основные ожидаемые итоги и результаты проекта.</w:t>
            </w:r>
          </w:p>
          <w:p>
            <w:pPr>
              <w:jc w:val="left"/>
            </w:pPr>
            <w:r>
              <w:rPr>
                <w:rFonts w:ascii="Arial" w:cs="Arial" w:eastAsia="Arial" w:hAnsi="Arial"/>
                <w:sz w:val="24"/>
                <w:szCs w:val="24"/>
              </w:rPr>
              <w:t xml:space="preserve">Прямые результаты могут включать: (в качестве примера) количество километров новой дороги или количество школьных мест или больничных коек, полученных к определенной дате.</w:t>
            </w:r>
          </w:p>
          <w:p>
            <w:pPr>
              <w:jc w:val="left"/>
            </w:pPr>
            <w:r>
              <w:rPr>
                <w:rFonts w:ascii="Arial" w:cs="Arial" w:eastAsia="Arial" w:hAnsi="Arial"/>
                <w:sz w:val="24"/>
                <w:szCs w:val="24"/>
              </w:rPr>
              <w:t xml:space="preserve">Конечные результаты должны отражать эффект от прямых результатов и относиться к решению проблемы (п.2.1) за счет реализации проекта, и позволять измерять степень успешности проекта. Например, результатом реабилитации дороги может быть сокращение несчастных случаев на 50% в первый год эксплуатации ее нового участка. Для строительства поликлиники успешным результатом может быть повышение доступности медицинских услуг (охват нуждающихся) на данной территории. Целевые значения показателей результата должны быть рассчитаны, как минимум, на среднесрочный (три года) период</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 Соответствие проекта целям программ или стратегий национального уровня</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прямые ссылки на программы или стратегии национального уровня, достижению целей которых будет способствовать проект. Указать конкретные пункты и результаты программ или стратегий, к которым относится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 Проект способствует достижению целей отраслевых программ и стратегий</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Продемонстрировать важность проекта для достижения целей отраслевых программ и стратегий, с указанием прямой ссылки на разделы и ожидаемые результаты отраслевых программ и стратегий, с которыми связан проект.</w:t>
            </w:r>
          </w:p>
          <w:p>
            <w:pPr>
              <w:jc w:val="left"/>
            </w:pPr>
            <w:r>
              <w:rPr>
                <w:rFonts w:ascii="Arial" w:cs="Arial" w:eastAsia="Arial" w:hAnsi="Arial"/>
                <w:sz w:val="24"/>
                <w:szCs w:val="24"/>
              </w:rPr>
              <w:t xml:space="preserve">Указать, какие целевые значения индикаторов результативности, запланированных для бюджетных программ и мер, изменятся в результате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2.9. Связь проекта с программами социально-экономического развития территорий</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Продемонстрировать важность проекта для достижения целей программ социально-экономического развития, разработанных органами местного самоуправления (по согласованию), а также районными администрациями территорий, на которых будет реализовываться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2.10. Соответствие проекта Целям устойчивого развития</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Привести прямые ссылки на индикаторы по достижению целей устойчивого развития Национального добровольного обзора в Кыргызской Республике</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3: Финансовая информация</w:t>
            </w:r>
          </w:p>
          <w:p>
            <w:pPr>
              <w:jc w:val="left"/>
            </w:pPr>
            <w:r>
              <w:rPr>
                <w:rFonts w:ascii="Arial" w:cs="Arial" w:eastAsia="Arial" w:hAnsi="Arial"/>
                <w:sz w:val="24"/>
                <w:szCs w:val="24"/>
              </w:rPr>
              <w:t xml:space="preserve">В этом разделе указать примерные объемы всех капитальных, операционных и эксплуатационных расходов, необходимых для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 Приблизительные общие (капитальные или иные прямые) расходы для реализации проекта (сом.)</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Расходы должны включать, помимо расходов на строительство, расходы, понесенные до начала строительства, такие как расходы на технико-экономическое обоснование, архитектурное и инженерное проектирование, приобретение земли и затраты на все материалы, оборудование и услуги (включая расходы на консультантов), необходимые для завершения проекта.</w:t>
            </w:r>
          </w:p>
          <w:p>
            <w:pPr>
              <w:jc w:val="left"/>
            </w:pPr>
            <w:r>
              <w:rPr>
                <w:rFonts w:ascii="Arial" w:cs="Arial" w:eastAsia="Arial" w:hAnsi="Arial"/>
                <w:sz w:val="24"/>
                <w:szCs w:val="24"/>
              </w:rPr>
              <w:t xml:space="preserve">Капитальные расходы должны оцениваться и выражаться как: [х сумма] сомов за каждый соответствующий год, в который производятся капитальные затраты.</w:t>
            </w:r>
          </w:p>
          <w:p>
            <w:pPr>
              <w:jc w:val="left"/>
            </w:pPr>
            <w:r>
              <w:rPr>
                <w:rFonts w:ascii="Arial" w:cs="Arial" w:eastAsia="Arial" w:hAnsi="Arial"/>
                <w:sz w:val="24"/>
                <w:szCs w:val="24"/>
              </w:rPr>
              <w:t xml:space="preserve">Источник или основание этих оценок также должны быть указаны или прикреплены в виде отдельных документов</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3.2. Предварительный план освоения средств проекта по годам (сом.)</w:t>
            </w:r>
          </w:p>
          <w:p>
            <w:pPr>
              <w:jc w:val="left"/>
            </w:pPr>
            <w:r>
              <w:rPr>
                <w:rFonts w:ascii="Arial" w:cs="Arial" w:eastAsia="Arial" w:hAnsi="Arial"/>
                <w:sz w:val="24"/>
                <w:szCs w:val="24"/>
              </w:rPr>
              <w:t xml:space="preserve">(общая сумма должна быть равна указанной в пункте 3.1 сумме)</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Указать расходы, начиная с года, в течение которого ожидается начало выделения средств, даже если это только оплата за технико-экономическое обоснование. В таблице указываются приблизительные суммы выделения средств по годам в течение периода реализации проекта</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расходов/год</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4</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Источники финансирования расходов по реализации проекта (сом., %)</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приведенной таблице указываются все источники финансирования (софинансирования) расходов по проекту в сомах, а также в процентах от общего объема расходов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финансирования</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Удельный вес (%)</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кредит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грант</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Реализация</w:t>
            </w:r>
          </w:p>
          <w:p>
            <w:pPr>
              <w:jc w:val="left"/>
            </w:pPr>
            <w:r>
              <w:rPr>
                <w:rFonts w:ascii="Arial" w:cs="Arial" w:eastAsia="Arial" w:hAnsi="Arial"/>
                <w:sz w:val="24"/>
                <w:szCs w:val="24"/>
              </w:rPr>
              <w:t xml:space="preserve">В этом разделе должен быть приведен оценочный план реализации проекта. Он должен включать график реализации и оценку рисков, связанных с реализацией проекта, а также рассмотрение взаимодействия с заинтересованными сторонами в рамках проекта.</w:t>
            </w:r>
          </w:p>
          <w:p>
            <w:pPr>
              <w:jc w:val="left"/>
            </w:pPr>
            <w:r>
              <w:rPr>
                <w:rFonts w:ascii="Arial" w:cs="Arial" w:eastAsia="Arial" w:hAnsi="Arial"/>
                <w:sz w:val="24"/>
                <w:szCs w:val="24"/>
              </w:rPr>
              <w:t xml:space="preserve">Предложенные структура и процесс принятия решений должны быть пояснены, с четким указанием функций и обязанностей, которые должны определять, какое должностное лицо несет конечную ответственность за проект</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 Описание запланированных сроков по проекту</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важные этапы подготовки и реализации проекта в таблице, с указанием запланированных сроков для выполнения каждого из этих этапов</w:t>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Этап</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Завершение подготовки технико-экономического обоснования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Уведомление о закупках</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Присуждение контракта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Начало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Реализация компонентов</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Завершение работ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08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Проект доступен для эксплуатации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4.2. Возможные риски при реализации проекта, и управление рисками</w:t>
            </w:r>
          </w:p>
        </w:tc>
        <w:tc>
          <w:tcPr>
            <w:tcW w:type="dxa" w:w="848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и описать возможные риски, которые могут угрожать запланированной реализации проекта. Для каждого из рисков в приведенной таблице необходимо указать, как будут осуществляться управление, смягчение или минимизация риска.</w:t>
            </w:r>
          </w:p>
          <w:p>
            <w:pPr>
              <w:jc w:val="left"/>
            </w:pPr>
            <w:r>
              <w:rPr>
                <w:rFonts w:ascii="Arial" w:cs="Arial" w:eastAsia="Arial" w:hAnsi="Arial"/>
                <w:sz w:val="24"/>
                <w:szCs w:val="24"/>
              </w:rPr>
              <w:t xml:space="preserve">Включение большего числа рисков не должно рассматриваться как признак слабости проектного предложения. Напротив, рассматривающие заявку с большей вероятностью будут считать большее число выявленных рисков признаком тщательно продуманного предложения</w:t>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Риск</w:t>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Меры по управлению риском</w:t>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39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84"/>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 Контактная информация</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исполнительного агентства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рабочие номера телефонов, сайт, электронная почта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координатора проекта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рабочий и/или мобильные номера телефонов, электронная почта</w:t>
            </w:r>
          </w:p>
        </w:tc>
      </w:tr>
      <w:tr>
        <w:tc>
          <w:tcPr>
            <w:tcW w:type="dxa" w:w="339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Контакты ответственного сотрудника исполнительного агентства</w:t>
            </w:r>
          </w:p>
        </w:tc>
        <w:tc>
          <w:tcPr>
            <w:tcW w:type="dxa" w:w="6784"/>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должность, рабочий и/или мобильные номера телефонов, электронная почта</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zuknyb4mryhrxri2u4kol">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краткой информации к документации по проекту или технико-экономическому обоснованию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1"/>
        <w:gridCol w:w="3409"/>
        <w:gridCol w:w="3409"/>
      </w:tblGrid>
      <w:tr>
        <w:tc>
          <w:tcPr>
            <w:tcW w:type="dxa" w:w="33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исполнительного агентства</w:t>
            </w:r>
          </w:p>
        </w:tc>
        <w:tc>
          <w:tcPr>
            <w:tcW w:type="dxa" w:w="68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реализующего агентства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если предусматривается институциональная единица, имеющая статус самостоятельного юридического лица, участвующая в реализации проекта</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Уникальный номер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проекта присваивается при успешном предварительном отборе проектной заявки</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одобрения проектной заявки</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Цель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Должна быть указана одна основная общественно-полезная цель, выраженная не более чем двумя или тремя предложениями</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Физическое описание проекта</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Описать одним-двумя предложениями физические характеристики проекта, например: новое здание школы площадью [х] м2 в селе [у] для размещения [число] детей. Перечислить компоненты проекта, если таковые имеются</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Местоположение</w:t>
            </w:r>
          </w:p>
        </w:tc>
        <w:tc>
          <w:tcPr>
            <w:tcW w:type="dxa" w:w="68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Точное географическое положение и/или почтовый адрес проектного объекта. Если он расположен в нескольких местах, как в случае, например, с дорожным проектом, указать начальные и конечные адреса или координаты на карте и описание пройденного маршрута</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Ориентировочная капитальная стоимость проекта (сом.)</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общие (капитальные) затраты, указанные в форме проектной заявки</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общие (капитальные) затраты, которые на текущий момент указаны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Источники (капитального) финансирования (сом., %)</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источники софинансирования проекта, например: за счет средств из республиканского бюджета и средств партнеров по развитию (указать, каких именно), с указанием объема и удельного веса финансирования от каждого из них</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Предполагаемые дополнительные операционные и эксплуатационные расходы (за первый полный финансовый год функционирования созданных активов) (сом.)</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Изначальные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годовые операционные и эксплуатационные расходы, указанные в проектной заявке, которые являются дополнительными к максимальной сумме бюджета текущих расходов исполнительного агентства</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Текущие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Предполагаемые годовые операционные и эксплуатационные расходы, расходы, которые на текущий момент отображаются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Источник дополнительных операционных и эксплуатационных расходов (сом., %)</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источники финансирования дополнительных операционных и эксплуатационных расходов. Примеры: государственный бюджет, местный бюджет, партнеры по развитию (указать, какие именно), частный сектор или их комбинация (указать объем и удельный вес финансирования от каждого из них)</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проекта (месяц/год)</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указанная в проектной заявке. Эта дата должна быть датой назначения выполнения технико-экономического обоснования</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проекта, на текущий момент указанная в технико-экономическом обосновании</w:t>
            </w:r>
          </w:p>
        </w:tc>
      </w:tr>
      <w:tr>
        <w:tc>
          <w:tcPr>
            <w:tcW w:type="dxa" w:w="336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Предполагаемая дата начала работы завершенного проекта (месяц/год) (заполняется при необходимости)</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Изначальная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Предполагаемая дата начала работы объекта после завершения проекта, которая была указана в проектной заявке</w:t>
            </w:r>
          </w:p>
        </w:tc>
      </w:tr>
      <w:tr>
        <w:tc>
          <w:tcPr>
            <w:vMerge w:val="continue"/>
            <w:tcBorders>
              <w:top w:val="none" w:color="auto" w:sz="0"/>
              <w:left w:val="single" w:color="CBBF9E" w:sz="4"/>
              <w:bottom w:val="single" w:color="CBBF9E" w:sz="4"/>
              <w:right w:val="single" w:color="CBBF9E" w:sz="4"/>
            </w:tcBorders>
          </w:tcP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Текущая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начала работы объекта, которая на текущий момент указана в технико-экономическом обосновании</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фискального воздействия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Фискальное воздействие - влияние результатов осуществляемого проекта на доходы и расходы республиканского бюджета Кыргызской Республики. В качестве основного показателя принимается воздействие проекта за определенный период времени, которое выражается в увеличении доходов и/или снижении расходов республиканского бюджета Кыргызской Республики в результате реализации инвестиционного проекта</w:t>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Соответствие проекта целям устойчивого развития, целям программ или стратегий национального уровня</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7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Список приложений</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все основные пункты и приложения из раздела по ТЭО</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3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Проект подготовлен</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Члены рабочей группы исполнительного агентства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исполнительном агентстве</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r>
              <w:rPr>
                <w:rFonts w:ascii="Arial" w:cs="Arial" w:eastAsia="Arial" w:hAnsi="Arial"/>
                <w:b/>
                <w:bCs/>
                <w:sz w:val="24"/>
                <w:szCs w:val="24"/>
              </w:rPr>
              <w:t xml:space="preserve"> телефона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61"/>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ckbdogrj6eezgqjjf448q">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Положению по управлению государственными инвестициями</w:t>
      </w:r>
    </w:p>
    <w:p>
      <w:pPr>
        <w:spacing w:after="400" w:before="400"/>
        <w:jc w:val="center"/>
      </w:pPr>
      <w:r>
        <w:rPr>
          <w:rFonts w:ascii="Arial" w:cs="Arial" w:eastAsia="Arial" w:hAnsi="Arial"/>
          <w:b/>
          <w:bCs/>
          <w:sz w:val="28"/>
          <w:szCs w:val="28"/>
        </w:rPr>
        <w:t xml:space="preserve">ФОРМА
 ежеквартального краткого отчета о реализации проекта и инструкция по заполнению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40"/>
        <w:gridCol w:w="3638"/>
      </w:tblGrid>
      <w:tr>
        <w:tc>
          <w:tcPr>
            <w:tcW w:type="dxa" w:w="65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3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Номер кредита/гранта (по соглашению)</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Сектор</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Общая сумма финансирования</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кредита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гранта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Сумма тех. помощи</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Вклад Кыргызской Республики (софинансирование):</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Условия кредита: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кредита (из них льготный период), процентная ставка, грант-элемент</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Географический охват (области):</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проведения заседания Совета Кабинета Министров Кыргызской Республики по фискальной и инвестиционной политике</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протокола, дата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проведения заседания Совета Директоров Донора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переговоров</w:t>
            </w:r>
          </w:p>
          <w:p>
            <w:pPr>
              <w:jc w:val="left"/>
            </w:pPr>
            <w:r>
              <w:rPr>
                <w:rFonts w:ascii="Arial" w:cs="Arial" w:eastAsia="Arial" w:hAnsi="Arial"/>
                <w:b/>
                <w:bCs/>
                <w:sz w:val="24"/>
                <w:szCs w:val="24"/>
              </w:rPr>
              <w:t xml:space="preserve">(№ распоряжения,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подписания</w:t>
            </w:r>
          </w:p>
          <w:p>
            <w:pPr>
              <w:jc w:val="left"/>
            </w:pPr>
            <w:r>
              <w:rPr>
                <w:rFonts w:ascii="Arial" w:cs="Arial" w:eastAsia="Arial" w:hAnsi="Arial"/>
                <w:b/>
                <w:bCs/>
                <w:sz w:val="24"/>
                <w:szCs w:val="24"/>
              </w:rPr>
              <w:t xml:space="preserve">(№ распоряжения,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ратификации</w:t>
            </w:r>
          </w:p>
          <w:p>
            <w:pPr>
              <w:jc w:val="left"/>
            </w:pPr>
            <w:r>
              <w:rPr>
                <w:rFonts w:ascii="Arial" w:cs="Arial" w:eastAsia="Arial" w:hAnsi="Arial"/>
                <w:b/>
                <w:bCs/>
                <w:sz w:val="24"/>
                <w:szCs w:val="24"/>
              </w:rPr>
              <w:t xml:space="preserve">(№ закона, дата):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вступления в силу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Исполнительное агентство:</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Реализующее агентство:</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Начало реализации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закрытия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 закрытия финансирования проекта:</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Продление по проекту (даты):</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внешнему финансированию</w:t>
            </w:r>
          </w:p>
          <w:p>
            <w:pPr>
              <w:jc w:val="left"/>
            </w:pPr>
            <w:r>
              <w:rPr>
                <w:rFonts w:ascii="Arial" w:cs="Arial" w:eastAsia="Arial" w:hAnsi="Arial"/>
                <w:b/>
                <w:bCs/>
                <w:sz w:val="24"/>
                <w:szCs w:val="24"/>
              </w:rPr>
              <w:t xml:space="preserve">(нарастающим итогом с начала проекта включая отчетный период):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долларов США</w:t>
            </w:r>
          </w:p>
          <w:p>
            <w:pPr>
              <w:jc w:val="left"/>
            </w:pPr>
            <w:r>
              <w:rPr>
                <w:rFonts w:ascii="Arial" w:cs="Arial" w:eastAsia="Arial" w:hAnsi="Arial"/>
                <w:sz w:val="24"/>
                <w:szCs w:val="24"/>
              </w:rPr>
              <w:t xml:space="preserve">Грант: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внешнему финансированию за текущий год: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долларов США</w:t>
            </w:r>
          </w:p>
          <w:p>
            <w:pPr>
              <w:jc w:val="left"/>
            </w:pPr>
            <w:r>
              <w:rPr>
                <w:rFonts w:ascii="Arial" w:cs="Arial" w:eastAsia="Arial" w:hAnsi="Arial"/>
                <w:sz w:val="24"/>
                <w:szCs w:val="24"/>
              </w:rPr>
              <w:t xml:space="preserve">Грант: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внутреннему финансированию</w:t>
            </w:r>
          </w:p>
          <w:p>
            <w:pPr>
              <w:jc w:val="left"/>
            </w:pPr>
            <w:r>
              <w:rPr>
                <w:rFonts w:ascii="Arial" w:cs="Arial" w:eastAsia="Arial" w:hAnsi="Arial"/>
                <w:b/>
                <w:bCs/>
                <w:sz w:val="24"/>
                <w:szCs w:val="24"/>
              </w:rPr>
              <w:t xml:space="preserve">(нарастающим итогом с начала проекта включая отчетный период):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вклада от КР: долларов США</w:t>
            </w:r>
          </w:p>
        </w:tc>
      </w:tr>
      <w:tr>
        <w:tc>
          <w:tcPr>
            <w:tcW w:type="dxa" w:w="654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Освоение средств по внутреннему финансированию за текущий год:</w:t>
            </w:r>
          </w:p>
        </w:tc>
        <w:tc>
          <w:tcPr>
            <w:tcW w:type="dxa" w:w="3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вклада от КР: долларов США</w:t>
            </w:r>
          </w:p>
        </w:tc>
      </w:tr>
    </w:tbl>
    <w:p>
      <w:pPr>
        <w:spacing w:after="60" w:before="120"/>
        <w:ind w:firstLine="567"/>
        <w:jc w:val="both"/>
      </w:pPr>
      <w:r>
        <w:rPr>
          <w:rFonts w:ascii="Arial" w:cs="Arial" w:eastAsia="Arial" w:hAnsi="Arial"/>
          <w:b/>
          <w:bCs/>
          <w:sz w:val="24"/>
          <w:szCs w:val="24"/>
        </w:rPr>
        <w:t xml:space="preserve">Цель проекта:</w:t>
      </w:r>
    </w:p>
    <w:p>
      <w:pPr>
        <w:spacing w:after="60" w:before="200"/>
        <w:ind w:firstLine="567"/>
        <w:jc w:val="both"/>
      </w:pPr>
      <w:r>
        <w:rPr>
          <w:rFonts w:ascii="Arial" w:cs="Arial" w:eastAsia="Arial" w:hAnsi="Arial"/>
          <w:b/>
          <w:bCs/>
          <w:sz w:val="24"/>
          <w:szCs w:val="24"/>
        </w:rPr>
        <w:t xml:space="preserve">Проект состоит из следующих компонентов:</w:t>
      </w:r>
    </w:p>
    <w:p>
      <w:pPr>
        <w:spacing w:after="60"/>
        <w:ind w:firstLine="567"/>
        <w:jc w:val="both"/>
      </w:pPr>
      <w:r>
        <w:rPr>
          <w:rFonts w:ascii="Arial" w:cs="Arial" w:eastAsia="Arial" w:hAnsi="Arial"/>
          <w:b/>
          <w:bCs/>
          <w:sz w:val="24"/>
          <w:szCs w:val="24"/>
        </w:rPr>
        <w:t xml:space="preserve">Компонент 1:</w:t>
      </w:r>
    </w:p>
    <w:p>
      <w:pPr>
        <w:spacing w:after="60"/>
        <w:ind w:firstLine="567"/>
        <w:jc w:val="both"/>
      </w:pPr>
      <w:r>
        <w:rPr>
          <w:rFonts w:ascii="Arial" w:cs="Arial" w:eastAsia="Arial" w:hAnsi="Arial"/>
          <w:b/>
          <w:bCs/>
          <w:sz w:val="24"/>
          <w:szCs w:val="24"/>
        </w:rPr>
        <w:t xml:space="preserve">Компонент 2:</w:t>
      </w:r>
    </w:p>
    <w:p>
      <w:pPr>
        <w:spacing w:after="60"/>
        <w:ind w:firstLine="567"/>
        <w:jc w:val="both"/>
      </w:pPr>
      <w:r>
        <w:rPr>
          <w:rFonts w:ascii="Arial" w:cs="Arial" w:eastAsia="Arial" w:hAnsi="Arial"/>
          <w:b/>
          <w:bCs/>
          <w:sz w:val="24"/>
          <w:szCs w:val="24"/>
        </w:rPr>
        <w:t xml:space="preserve">Компонент 3:</w:t>
      </w:r>
    </w:p>
    <w:p>
      <w:pPr>
        <w:spacing w:after="60"/>
        <w:ind w:firstLine="567"/>
        <w:jc w:val="both"/>
      </w:pPr>
      <w:r>
        <w:rPr>
          <w:rFonts w:ascii="Arial" w:cs="Arial" w:eastAsia="Arial" w:hAnsi="Arial"/>
          <w:b/>
          <w:bCs/>
          <w:sz w:val="24"/>
          <w:szCs w:val="24"/>
        </w:rPr>
        <w:t xml:space="preserve">Компонент 4:</w:t>
      </w:r>
    </w:p>
    <w:p>
      <w:pPr>
        <w:spacing w:after="60"/>
        <w:ind w:firstLine="567"/>
        <w:jc w:val="both"/>
      </w:pPr>
      <w:r>
        <w:rPr>
          <w:rFonts w:ascii="Arial" w:cs="Arial" w:eastAsia="Arial" w:hAnsi="Arial"/>
          <w:b/>
          <w:bCs/>
          <w:sz w:val="24"/>
          <w:szCs w:val="24"/>
        </w:rPr>
        <w:t xml:space="preserve">Компонент 5:</w:t>
      </w:r>
    </w:p>
    <w:p>
      <w:pPr>
        <w:spacing w:after="60" w:before="200"/>
        <w:ind w:firstLine="567"/>
        <w:jc w:val="both"/>
      </w:pPr>
      <w:r>
        <w:rPr>
          <w:rFonts w:ascii="Arial" w:cs="Arial" w:eastAsia="Arial" w:hAnsi="Arial"/>
          <w:b/>
          <w:bCs/>
          <w:sz w:val="24"/>
          <w:szCs w:val="24"/>
        </w:rPr>
        <w:t xml:space="preserve">Статус реализации проекта</w:t>
      </w:r>
    </w:p>
    <w:p>
      <w:pPr>
        <w:spacing w:after="60"/>
        <w:ind w:firstLine="567"/>
        <w:jc w:val="both"/>
      </w:pPr>
      <w:r>
        <w:rPr>
          <w:rFonts w:ascii="Arial" w:cs="Arial" w:eastAsia="Arial" w:hAnsi="Arial"/>
          <w:b/>
          <w:bCs/>
          <w:sz w:val="24"/>
          <w:szCs w:val="24"/>
        </w:rPr>
        <w:t xml:space="preserve">Компонент 1:</w:t>
      </w:r>
    </w:p>
    <w:p>
      <w:pPr>
        <w:spacing w:after="60"/>
        <w:ind w:firstLine="567"/>
        <w:jc w:val="both"/>
      </w:pPr>
      <w:r>
        <w:rPr>
          <w:rFonts w:ascii="Arial" w:cs="Arial" w:eastAsia="Arial" w:hAnsi="Arial"/>
          <w:b/>
          <w:bCs/>
          <w:sz w:val="24"/>
          <w:szCs w:val="24"/>
        </w:rPr>
        <w:t xml:space="preserve">Компонент 2:</w:t>
      </w:r>
    </w:p>
    <w:p>
      <w:pPr>
        <w:spacing w:after="60"/>
        <w:ind w:firstLine="567"/>
        <w:jc w:val="both"/>
      </w:pPr>
      <w:r>
        <w:rPr>
          <w:rFonts w:ascii="Arial" w:cs="Arial" w:eastAsia="Arial" w:hAnsi="Arial"/>
          <w:b/>
          <w:bCs/>
          <w:sz w:val="24"/>
          <w:szCs w:val="24"/>
        </w:rPr>
        <w:t xml:space="preserve">Компонент 3:</w:t>
      </w:r>
    </w:p>
    <w:p>
      <w:pPr>
        <w:spacing w:after="60"/>
        <w:ind w:firstLine="567"/>
        <w:jc w:val="both"/>
      </w:pPr>
      <w:r>
        <w:rPr>
          <w:rFonts w:ascii="Arial" w:cs="Arial" w:eastAsia="Arial" w:hAnsi="Arial"/>
          <w:b/>
          <w:bCs/>
          <w:sz w:val="24"/>
          <w:szCs w:val="24"/>
        </w:rPr>
        <w:t xml:space="preserve">Компонент 4:</w:t>
      </w:r>
    </w:p>
    <w:p>
      <w:pPr>
        <w:spacing w:after="60"/>
        <w:ind w:firstLine="567"/>
        <w:jc w:val="both"/>
      </w:pPr>
      <w:r>
        <w:rPr>
          <w:rFonts w:ascii="Arial" w:cs="Arial" w:eastAsia="Arial" w:hAnsi="Arial"/>
          <w:b/>
          <w:bCs/>
          <w:sz w:val="24"/>
          <w:szCs w:val="24"/>
        </w:rPr>
        <w:t xml:space="preserve">Компонент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Проблемы по проекту: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Пути решения проблем:</w:t>
      </w:r>
      <w:r>
        <w:rPr>
          <w:rFonts w:ascii="Arial" w:cs="Arial" w:eastAsia="Arial" w:hAnsi="Arial"/>
          <w:sz w:val="24"/>
          <w:szCs w:val="24"/>
        </w:rPr>
        <w:t xml:space="preserve">".</w:t>
      </w:r>
    </w:p>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4vaaakzdduhhxgkp6plm">
      <w:r>
        <w:rPr>
          <w:rFonts w:ascii="Arial" w:cs="Arial" w:eastAsia="Arial" w:hAnsi="Arial"/>
          <w:color w:val="132D3F"/>
          <w:sz w:val="16"/>
          <w:szCs w:val="16"/>
          <w:u w:val="single"/>
        </w:rPr>
        <w:t xml:space="preserve">dalil.kg/document/159867</w:t>
      </w:r>
    </w:hyperlink>
  </w:p>
  <w:p>
    <w:pPr>
      <w:spacing w:after="0" w:before="40"/>
      <w:jc w:val="center"/>
    </w:pPr>
    <w:hyperlink w:history="1" r:id="rIdlgxdmyck5iiqclvzwozk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knkaeeedtsg2auzemdjr" Type="http://schemas.openxmlformats.org/officeDocument/2006/relationships/hyperlink" Target="https://dalil.kg/document/111338#st_28" TargetMode="External"/><Relationship Id="rId7zxcannpwv4hpirilr1yy" Type="http://schemas.openxmlformats.org/officeDocument/2006/relationships/hyperlink" Target="https://dalil.kg/document/111338#st_35" TargetMode="External"/><Relationship Id="rIdbb0d704fbyx1kro3m8mrr" Type="http://schemas.openxmlformats.org/officeDocument/2006/relationships/hyperlink" Target="https://dalil.kg/document/111338#st_62" TargetMode="External"/><Relationship Id="rIdn3jktxnvkzuc1p3-vcwk2" Type="http://schemas.openxmlformats.org/officeDocument/2006/relationships/hyperlink" Target="https://dalil.kg/document/111338#st_70" TargetMode="External"/><Relationship Id="rIdyu-hlvac7quodevfuejjm" Type="http://schemas.openxmlformats.org/officeDocument/2006/relationships/hyperlink" Target="https://dalil.kg/document/112301#st_13" TargetMode="External"/><Relationship Id="rIdqyj1mwdr3t7s6i6k_wr3w" Type="http://schemas.openxmlformats.org/officeDocument/2006/relationships/hyperlink" Target="https://dalil.kg/document/112301#st_17" TargetMode="External"/><Relationship Id="rIdw7qkwrkysxpundfnrdmk5" Type="http://schemas.openxmlformats.org/officeDocument/2006/relationships/hyperlink" Target="https://dalil.kg/document/14564" TargetMode="External"/><Relationship Id="rId0hb_bi8u0cgvdpgptf_sv" Type="http://schemas.openxmlformats.org/officeDocument/2006/relationships/hyperlink" Target="https://dalil.kg/document/14565" TargetMode="External"/><Relationship Id="rIdgbhhszgds0otjuqqdk3xo" Type="http://schemas.openxmlformats.org/officeDocument/2006/relationships/hyperlink" Target="https://dalil.kg/document/14565" TargetMode="External"/><Relationship Id="rId-ebexj7r74jltqdyzhwls" Type="http://schemas.openxmlformats.org/officeDocument/2006/relationships/hyperlink" Target="https://dalil.kg/document/15564" TargetMode="External"/><Relationship Id="rId6_djkhkkdj2kjbooggzte" Type="http://schemas.openxmlformats.org/officeDocument/2006/relationships/hyperlink" Target="https://dalil.kg/document/14565#pr1" TargetMode="External"/><Relationship Id="rIdzs4pxaeub2a-cvoud0n9w" Type="http://schemas.openxmlformats.org/officeDocument/2006/relationships/hyperlink" Target="https://dalil.kg/document/14565#pr3" TargetMode="External"/><Relationship Id="rIdgt-hzlbexpxbqj3kqegcz" Type="http://schemas.openxmlformats.org/officeDocument/2006/relationships/hyperlink" Target="https://dalil.kg/document/14565#pr1" TargetMode="External"/><Relationship Id="rIdzuknyb4mryhrxri2u4kol" Type="http://schemas.openxmlformats.org/officeDocument/2006/relationships/hyperlink" Target="https://dalil.kg/document/14565#pr2" TargetMode="External"/><Relationship Id="rIdckbdogrj6eezgqjjf448q" Type="http://schemas.openxmlformats.org/officeDocument/2006/relationships/hyperlink" Target="https://dalil.kg/document/14565#pr3"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4vaaakzdduhhxgkp6plm" Type="http://schemas.openxmlformats.org/officeDocument/2006/relationships/hyperlink" Target="https://dalil.kg/document/159867" TargetMode="External"/><Relationship Id="rIdlgxdmyck5iiqclvzwozk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2026-09-24T07:07:31.245Z</dcterms:created>
  <dcterms:modified xsi:type="dcterms:W3CDTF">2026-09-24T07:07:31.245Z</dcterms:modified>
</cp:coreProperties>
</file>

<file path=docProps/custom.xml><?xml version="1.0" encoding="utf-8"?>
<Properties xmlns="http://schemas.openxmlformats.org/officeDocument/2006/custom-properties" xmlns:vt="http://schemas.openxmlformats.org/officeDocument/2006/docPropsVTypes"/>
</file>