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f4na8qjikjlk7om73r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исчисления размера ущерба за порчу земель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исчисления размера ущерба за порчу земель (далее - Порядок) предназначен для исчисления в стоимостной форме размера ущерба при снятии и перемещении плодородного слоя почвы, загрязнении химическими, биологическими, радиоактивными и иными загрязнителями (далее - порча земель).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Исчисление размера ущерба при порче земель осуществляется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пор</w:t>
      </w:r>
      <w:r>
        <w:rPr>
          <w:rFonts w:ascii="Arial" w:cs="Arial" w:eastAsia="Arial" w:hAnsi="Arial"/>
          <w:sz w:val="24"/>
          <w:szCs w:val="24"/>
        </w:rPr>
        <w:t xml:space="preserve"> = S х Б</w:t>
      </w:r>
      <w:r>
        <w:rPr>
          <w:rFonts w:ascii="Arial" w:cs="Arial" w:eastAsia="Arial" w:hAnsi="Arial"/>
          <w:sz w:val="24"/>
          <w:szCs w:val="24"/>
        </w:rPr>
        <w:t xml:space="preserve">сб</w:t>
      </w:r>
      <w:r>
        <w:rPr>
          <w:rFonts w:ascii="Arial" w:cs="Arial" w:eastAsia="Arial" w:hAnsi="Arial"/>
          <w:sz w:val="24"/>
          <w:szCs w:val="24"/>
        </w:rPr>
        <w:t xml:space="preserve"> х Р х В х Э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х Э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пор</w:t>
      </w:r>
      <w:r>
        <w:rPr>
          <w:rFonts w:ascii="Arial" w:cs="Arial" w:eastAsia="Arial" w:hAnsi="Arial"/>
          <w:sz w:val="24"/>
          <w:szCs w:val="24"/>
        </w:rPr>
        <w:t xml:space="preserve"> - размер ущерба при порче земель,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участка, на котором обнаружена порча земель,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сб</w:t>
      </w:r>
      <w:r>
        <w:rPr>
          <w:rFonts w:ascii="Arial" w:cs="Arial" w:eastAsia="Arial" w:hAnsi="Arial"/>
          <w:sz w:val="24"/>
          <w:szCs w:val="24"/>
        </w:rPr>
        <w:t xml:space="preserve"> - средний балл бонитета почв, определяется согласно таблице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такса для определения ущерба, определяется согласно таблице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средняя арифметическая величина ущерба, равна 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коэффициент экологической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3 - порча земель при промышленном или ином строительстве, проведении иных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5 - порча земель природоохранного, оздоровительного, рекреационного и историко-культурного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хозяйствующего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1,5 - для хозяйствующих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автосервисы (станции технического обслуживания, авторемонтные мастерские, автомойки, станции вулканизации);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питание,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сфера услуг (сауны, бани, химчистки, покрасочные, мастерские);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мини-рынки, рынки, в т.ч. скотные, торгово-рыночные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2 - для АЗС.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всех остальных хозяйствующих субъектов Э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1,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горнодобывающие;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Незаконно вывозимый почвогрунт изымается в пользу землепользователя, независимо от формы собственности, который определяется уполномоченным органом по контролю и надзору за соблюдением земельного и водного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штрафных санкций за правонарушение при порче земель не освобождает нарушителя от возмещения материального ущерба, возникшего вследствие порчи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Средневзвешенные баллы бонитета сельскохозяйственных угодий
 в разрезе районов Кыргызской Республики, Б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сб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1905"/>
        <w:gridCol w:w="1738"/>
        <w:gridCol w:w="1490"/>
        <w:gridCol w:w="2102"/>
        <w:gridCol w:w="1119"/>
        <w:gridCol w:w="1296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Область, район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Орошаемая пашня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2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1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Пастбища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Таксы для исчисления размера ущерба за порчу земель, РП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2418"/>
        <w:gridCol w:w="2404"/>
        <w:gridCol w:w="2404"/>
        <w:gridCol w:w="2404"/>
      </w:tblGrid>
      <w:tr>
        <w:tc>
          <w:tcPr>
            <w:tcW w:type="dxa" w:w="5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Области, районы (земли городов приравниваются к землям близлежащего района)</w:t>
            </w:r>
          </w:p>
        </w:tc>
        <w:tc>
          <w:tcPr>
            <w:tcW w:type="dxa" w:w="721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расчетного показателя, РП/кв.м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орошаемые пашни;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многолетние плодовые насаждения;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виноградники и культурные пастбища;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лесные земли: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покрытые лесом, не сомкнувшиеся лесные культуры, питомники;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не покрытые лесом, входящие в лесокультурный фонд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богарные пашни;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многолетие насаждения;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лесные непокрытые лесом площади, не входящие в лесокультурный фонд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сенокосы;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пастбища (за исключением культурных) и иные категории земель, не перечисленные выше, но имеющие плодородный слой почвы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Базар-Коргонский,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Аксыйский,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Араванский,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Ноокатский,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Алайский,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bttwzx6ecpzxhetbh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dalil.kg/document/159882</w:t>
      </w:r>
    </w:hyperlink>
  </w:p>
  <w:p>
    <w:pPr>
      <w:spacing w:after="0" w:before="40"/>
      <w:jc w:val="center"/>
    </w:pPr>
    <w:hyperlink w:history="1" r:id="rIdonwlrc3mafvolfd6jl7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4na8qjikjlk7om73r4i" Type="http://schemas.openxmlformats.org/officeDocument/2006/relationships/hyperlink" Target="https://dalil.kg/document/1598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bttwzx6ecpzxhetbhaw" Type="http://schemas.openxmlformats.org/officeDocument/2006/relationships/hyperlink" Target="https://dalil.kg/document/159882" TargetMode="External"/><Relationship Id="rIdonwlrc3mafvolfd6jl7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2026-09-27T07:49:28.261Z</dcterms:created>
  <dcterms:modified xsi:type="dcterms:W3CDTF">2026-09-27T07:49:28.261Z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