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2022 года № 599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актов в области общественного здравоохранения" от 11 апреля 2016 года № 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ea8h9rqkemjsgj86e25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общественном здравоохранении", в соответствии со статьями </w:t>
      </w:r>
      <w:hyperlink w:history="1" r:id="rId1w1c2trdsoy6mnvnuxi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qmsy7bxvgjf-71wtwd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rocqmtlawo7a2rrdzf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актов в области общественного здравоохранения" от 11 апреля 2016 года № 201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sqzgnuvzjtbje6kjinv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Санитарно-эпидемиологическим правилам и нормативам</w:t>
        </w:r>
      </w:hyperlink>
      <w:r>
        <w:rPr>
          <w:rFonts w:ascii="Arial" w:cs="Arial" w:eastAsia="Arial" w:hAnsi="Arial"/>
          <w:sz w:val="24"/>
          <w:szCs w:val="24"/>
        </w:rPr>
        <w:t xml:space="preserve"> "Санитарно-эпидемиологические требования к лечебно-профилактическим организациям", утвержденным вышеуказанным </w:t>
      </w:r>
      <w:hyperlink w:history="1" r:id="rIdgx9nvfqrqbysw5gu_57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слова ", в том числе туберкулезного,"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слова "в том числе туберкулезные,"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слова "противотуберкулезных подразделений" заменить словами "отделений для госпитализации пациентов с инфекциями, передающимися воздушным путем";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слово "туберкулезных,"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пункта 25 слова "и фтизиатрические"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39 слова "и туберкулезных"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52 слова ", в том числе туберкулезных," исключить, слова "мокроты на туберкулез" заменить словами "биологических материалов";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"119. Перепрофилирование медицинских организаций туберкулезного профиля допускается после проведения обеззараживания ультрафиолетовыми лампами, проветривания, дезинфекции во всех помещениях после выписки последнего пациента.";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"121. В туберкулезном стационаре необходимо предусмотреть наличие боксированных палат для пациентов с туберкулезом легких бактериологически подтвержденным, вызванным возбудителем с лекарственной устойчивостью.";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123, 124 слово "множественной"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125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156 дополнить предложением четвертым следующего содержания: "Помещения для проведения гемодиализа в инфекционных больницах следует размещать смежно с боксами для больных.";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158 после слов "реанимационном отделении," дополнить словом "терапевтическом,";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"159. Перед получением гемодиализа пациенты должны быть обследованы на гемоконтактные вирусные инфекции (гепатиты В, С и ВИЧ). Для пациентов программного гемодиализа с хроническими формами инфекционного заболевания, а также для лиц с положительными результатами обследования на маркеры гемоконтактных вирусных инфекций предусматривается отдельная зона или отдельный зал и оборудование.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диализном зале для больных с гемоконтактными вирусными инфекциями может быть организовано не более 3 диализных мест с выделением отдельной медицинской сестры для работы в диализном зале для инфекционных больных.";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161 после слов "детоксикации", "кабинета" дополнить соответственно словами "крови", "или в зале гемодиализа.";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161-1 - 161-5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"161-1. Помещения водоподготовки, приготовления и хранения диализных концентратов, хранения ингредиентов для приготовления диализных концентратов размещаются изолировано друг от друга. Все помещения оборудуются приточно-вытяжной вентиляцией.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диализных залах, помещении водоподготовки и ремонта диализных аппаратов предусматривается бесперебойная подача очищенной воды и система водоотведения для слива отработанного диализирующего раствора.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Хранение расходных материалов (солей, растворов) осуществляется в соответствии с инструкциями производителя.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161-2. Безопасность воды для гемодиализа определяется ее соответствием требованиям по микробиологическим и физико-химическим показателям воды для гемодиализа, установленным в приложении 9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безопасности воды для гемодиализа проводится не реже 1 раза в 6 месяцев в рамках проведения производственного контроля с привлечением испытательных лабораторий, аккредитованных в национальной системе аккредитации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Производственный контроль качества воды для гемодиализа осуществляет юридическое лицо, осуществляющее эксплуатацию гемодиализного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Качество воды контролируется в местах водозабора после прохождения системы водоочистки и перед поступлением в гемодиализный аппарат.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161-3. Перед проведением диализа проверить срок годности изделий однократного применения (диализатор, колонка, контейнер для крови, магистрали), также убедиться в целости потребительской тары. Не используются изделия однократного применения с поврежденной потребительской тарой, нарушающей их стерильность.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время процедуры не используются оборудования, аппараты и приборы, не прошедшие дезинфекцию и стерилизацию.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161-4. Подключение сосудов больного к магистралям аппарата производится в асептических условиях. При проведении каждой процедуры диализа для предупреждения контаминации зоны пункции необходимо использовать стерильные клеенки, пеленки.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161-5. Матрац на кровати в диализном зале должен быть защищен от попадания в него крови, других биологических жидкостей клеенкой, иным водоустойчивым покрытием. После каждой процедуры диализа на кровати (кресло-кровати) необходимо менять постельное белье. Для подлоктевых полотенец не допускается использование бумажных полотенец. Могут быть использованы многоразовые подлоктевые полотенца для одноразового использования.";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163 слова "и туберкулезных"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173 слово "туберкулезных,"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второе пункта 224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vupedzxlseczcrjmu3c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вышеуказанным Санитарно-эпидемиологическим правилам: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91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7"/>
        <w:gridCol w:w="4930"/>
        <w:gridCol w:w="3664"/>
        <w:gridCol w:w="1046"/>
      </w:tblGrid>
      <w:tr>
        <w:tc>
          <w:tcPr>
            <w:tcW w:type="dxa" w:w="53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4930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Диализный зал с постом дежурной медицинской сестры для проведения процедур хронического диализа:</w:t>
            </w:r>
          </w:p>
        </w:tc>
        <w:tc>
          <w:tcPr>
            <w:tcW w:type="dxa" w:w="366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</w:t>
            </w:r>
          </w:p>
        </w:tc>
        <w:tc>
          <w:tcPr>
            <w:tcW w:type="dxa" w:w="104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диализный зал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10,0 на каждое диализное место при 2 и более диализных мест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 дежурной медицинской сестры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4,0 (на 1 пост дежурной медицинской сестры до 5 диализных мест)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диализный зал с постом дежурной медицинской сестры для проведения процедур острого диализа (для взрослых)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 на каждое диализное место (на 1 пост дежурной медицинской сестры до 3 диализных мест)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диализный зал с постом дежурной медицинской сестры для проведения процедур острого диализа (для детей до 14 лет включительно)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 на каждое диализное место (пост дежурной медицинской сестры на каждое диализное место)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диализный зал с постом дежурной медицинской сестры для проведения процедур для больных с гемоконтактными вирусными инфекциями</w:t>
            </w:r>
          </w:p>
        </w:tc>
        <w:tc>
          <w:tcPr>
            <w:tcW w:type="dxa" w:w="3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 на каждое диализное место (1 пост дежурной медицинской сестры до 3 диализных мест)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92 цифры "10,0" заменить словами "не нормируется";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93 слова "2,0 на каждое диализное место, но не менее 8,0" заменить словами "не нормируется";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94 слова "1,5 на каждое диализное место, но не менее 8,0" заменить словами "не нормируется";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95 цифры "12,0" заменить словами "не нормируется";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108, 131, 150, 163, 173, 217 после слова "туалет" дополнить словами "с умывальником";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</w:t>
      </w:r>
      <w:hyperlink w:history="1" r:id="rIdl9wcgy87o1ygjf79qjp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9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weinjpixb0gkvxjvfku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ноября 2022 года № 99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xso887tlno4cjasq9hg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9</w:t>
        </w:r>
      </w:hyperlink>
      <w:r>
        <w:rPr>
          <w:rFonts w:ascii="Arial" w:cs="Arial" w:eastAsia="Arial" w:hAnsi="Arial"/>
          <w:sz w:val="24"/>
          <w:szCs w:val="24"/>
        </w:rPr>
        <w:t xml:space="preserve">
 к Санитарно-эпидемиологическим правилам и нормативам "Санитарно-эпидемиологические требования к лечебно-профилактическим организациям"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Безопасность воды для гемодиализа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09"/>
        <w:gridCol w:w="2420"/>
        <w:gridCol w:w="2449"/>
      </w:tblGrid>
      <w:tr>
        <w:tc>
          <w:tcPr>
            <w:tcW w:type="dxa" w:w="53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24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Значение показателя, мг/л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</w:t>
            </w:r>
          </w:p>
        </w:tc>
        <w:tc>
          <w:tcPr>
            <w:tcW w:type="dxa" w:w="24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 контроля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Микробиологические показатели</w:t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микробное число, КОЭ/см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менее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эндотоксинов, ЕЭ/см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менее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Физико-химические показатели</w:t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Удельная электрическая проводимость, мкСм/см, не более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концентрация свободного остаточного хлора, мг/дм, не более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0,5000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</w:t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концентрация хлорамина, мг/дм, не более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0,1000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</w:t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концентрация кальция, мг/дм, не более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</w:t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концентрация калия, мг/дм, не более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</w:t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концентрация натрия, мг/дм, не более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</w:t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концентрация магния, мг/дм, не более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</w:t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концентрация алюминия, мг/дм, не более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0,0100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концентрация меди, мг/дм, не более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0,1000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концентрация свинца, мг/дм, не более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0,0050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концентрация хрома, мг/дм, не более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0,0140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концентрация сурьмы, мг/дм, не более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0,0060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6 месяцев</w:t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концентрация мышьяка, мг/дм, не более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0,0050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6 месяцев</w:t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концентрация бария, мг/дм, не более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0,1000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6 месяцев</w:t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концентрация бериллия, мг/дм, не более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6 месяцев</w:t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концентрация кадмия, мг/дм, не более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0,0010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6 месяцев</w:t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концентрация фторидов, мг/дм, не более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0,2000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6 месяцев</w:t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концентрация ртути, мг/дм, не более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0,0002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6 месяцев</w:t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концентрация нитратов, мг/дм, не более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6 месяцев</w:t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концентрация селена, мг/дм, не более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0,0900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6 месяцев</w:t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концентрация серебра, мг/дм, не более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0,0050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6 месяцев</w:t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концентрация сульфатов, мг/дм, не более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6 месяцев</w:t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концентрация олова, мг/дм, не более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0,1000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6 месяцев</w:t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концентрация цинка, мг/дм, не более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0,1000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6 месяцев</w:t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концентрация цианидов, мг/дм, не более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0,0200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6 месяцев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a8h9rqkemjsgj86e25wb" Type="http://schemas.openxmlformats.org/officeDocument/2006/relationships/hyperlink" Target="http://kodeks.duckdns.org/document/202630#st_22_1" TargetMode="External"/><Relationship Id="rId1w1c2trdsoy6mnvnuxi9u" Type="http://schemas.openxmlformats.org/officeDocument/2006/relationships/hyperlink" Target="http://kodeks.duckdns.org/document/112301#st_13" TargetMode="External"/><Relationship Id="rIdtqmsy7bxvgjf-71wtwdz7" Type="http://schemas.openxmlformats.org/officeDocument/2006/relationships/hyperlink" Target="http://kodeks.duckdns.org/document/112301#st_17" TargetMode="External"/><Relationship Id="rId0rocqmtlawo7a2rrdzfpr" Type="http://schemas.openxmlformats.org/officeDocument/2006/relationships/hyperlink" Target="http://kodeks.duckdns.org/document/98479" TargetMode="External"/><Relationship Id="rIdsqzgnuvzjtbje6kjinvzy" Type="http://schemas.openxmlformats.org/officeDocument/2006/relationships/hyperlink" Target="http://kodeks.duckdns.org/document/11953" TargetMode="External"/><Relationship Id="rIdgx9nvfqrqbysw5gu_573p" Type="http://schemas.openxmlformats.org/officeDocument/2006/relationships/hyperlink" Target="http://kodeks.duckdns.org/document/98479" TargetMode="External"/><Relationship Id="rIdvupedzxlseczcrjmu3cps" Type="http://schemas.openxmlformats.org/officeDocument/2006/relationships/hyperlink" Target="http://kodeks.duckdns.org/document/11953#pr1" TargetMode="External"/><Relationship Id="rIdl9wcgy87o1ygjf79qjpbs" Type="http://schemas.openxmlformats.org/officeDocument/2006/relationships/hyperlink" Target="http://kodeks.duckdns.org/document/11953#pr9" TargetMode="External"/><Relationship Id="rIdweinjpixb0gkvxjvfkuu4" Type="http://schemas.openxmlformats.org/officeDocument/2006/relationships/hyperlink" Target="http://kodeks.duckdns.org/document/159895#pr" TargetMode="External"/><Relationship Id="rIdxso887tlno4cjasq9hgpj" Type="http://schemas.openxmlformats.org/officeDocument/2006/relationships/hyperlink" Target="http://kodeks.duckdns.org/document/15953#pr9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2026-09-23T10:04:24.632Z</dcterms:created>
  <dcterms:modified xsi:type="dcterms:W3CDTF">2026-09-23T10:04:24.632Z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