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g9wps46qdkbt3jz9u6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</w:t>
      </w:r>
      <w:r>
        <w:rPr>
          <w:rFonts w:ascii="Arial" w:cs="Arial" w:eastAsia="Arial" w:hAnsi="Arial"/>
          <w:sz w:val="24"/>
          <w:szCs w:val="24"/>
        </w:rPr>
        <w:t xml:space="preserve">утверждении </w:t>
      </w:r>
      <w:hyperlink w:history="1" r:id="rId4rql7xp1nqnpageg678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фонд</w:t>
      </w:r>
      <w:r>
        <w:rPr>
          <w:rFonts w:ascii="Arial" w:cs="Arial" w:eastAsia="Arial" w:hAnsi="Arial"/>
          <w:sz w:val="24"/>
          <w:szCs w:val="24"/>
        </w:rPr>
        <w:t xml:space="preserve">ах полномочных представителей Правительства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област</w:t>
      </w:r>
      <w:r>
        <w:rPr>
          <w:rFonts w:ascii="Arial" w:cs="Arial" w:eastAsia="Arial" w:hAnsi="Arial"/>
          <w:sz w:val="24"/>
          <w:szCs w:val="24"/>
        </w:rPr>
        <w:t xml:space="preserve">ях и акимов районов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11 апреля 2012 года № 238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bjrbvl1-w_auib5ngx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постановление Правительства Кыргызской Республики «Об утверждении Положения о резервных фондах глав местных государственных администраций ‒ губернаторов областей и акимов районов Кыргызской Республики» от 11 апреля 2012 года № 238» от 19 марта 2020 года № 173.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07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 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          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9wps46qdkbt3jz9u6i8" Type="http://schemas.openxmlformats.org/officeDocument/2006/relationships/hyperlink" Target="http://kodeks.duckdns.org/document/95377" TargetMode="External"/><Relationship Id="rId4rql7xp1nqnpageg678vi" Type="http://schemas.openxmlformats.org/officeDocument/2006/relationships/hyperlink" Target="http://kodeks.duckdns.org/document/95384" TargetMode="External"/><Relationship Id="rIdpbjrbvl1-w_auib5ngx_i" Type="http://schemas.openxmlformats.org/officeDocument/2006/relationships/hyperlink" Target="http://kodeks.duckdns.org/document/1999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2026-09-23T11:29:48.273Z</dcterms:created>
  <dcterms:modified xsi:type="dcterms:W3CDTF">2026-09-23T11:29:48.273Z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