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krij97dlf444ymln8_a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2023 года № 118)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определяется порядок проведения внутригосударственного согласования проекта технического регламента Евразийского экономического союза (далее - проект технического регламента)/проекта изменений в технический регламент Таможенного союза/Евразийского экономического союза (далее - проект изменений в технический регламент) и прилагаемого к проекту технического регламента и/или проекту изменений в технический регламент перечня документов согласно </w:t>
      </w:r>
      <w:hyperlink w:history="1" r:id="rIdoshrjfl3tmpj9nk7sc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координирующий орган</w:t>
      </w:r>
      <w:r>
        <w:rPr>
          <w:rFonts w:ascii="Arial" w:cs="Arial" w:eastAsia="Arial" w:hAnsi="Arial"/>
          <w:sz w:val="24"/>
          <w:szCs w:val="24"/>
        </w:rPr>
        <w:t xml:space="preserve"> - орган, уполномоченный Кабинетом Министров Кыргызской Республики на координацию работы в рамках Евразийского экономического союза (далее - ЕАЭС), а также на проведение мониторинга исполнения решений, распоряжений, рекомендаций, принятых органами ЕАЭС в соответствии с </w:t>
      </w:r>
      <w:hyperlink w:history="1" r:id="rIdjpkiq8nhyfsicllwaxh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работы в рамках Евразийского экономического союза" от 9 марта 2020 года № 138;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ответственный за подготовку позиции по проекту технического регламента/проекту изменений в технический регламент и реализацию технических регламентов Таможенного союза/Евразийского экономического союза (ТС/ЕАЭС) в соответствии с </w:t>
      </w:r>
      <w:hyperlink w:history="1" r:id="rIdqdmiu6q5zlwvxobt1rj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к компетенции которого относится область регулирования проекта технического регламента/проекта изменений в технический регламент в соответствии с </w:t>
      </w:r>
      <w:hyperlink w:history="1" r:id="rIdhkmyuy8woybloii8to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Внутригосударственное согласование проекта технического регламента/проекта изменений в технический регламент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технического регламента/проекта изменений в технический регламент;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представление позиции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внутригосударственного согласования проекта технического регламента/проекта изменений в технический регламент не должен превышать 60 календарных дней со дня его поступления от Евразийской экономической комиссии (далее - ЕЭК).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информация об итогах внутригосударственного согласования не может быть направлена в ЕЭК в указанный срок в связи с необходимостью дополнительного рассмотрения, ответственный орган уведомляет координирующий орган в письменной форме о сроке предоставления информации, который не может превышать 90 календарных дней с даты получения от ЕЭК проекта технического регламента/проекта изменений в технический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в письменной форме извещает ЕЭК о сроке предоставления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технического регламента/проект изменений в технический регламент и комплект документов к нему направляется Администрацией Президента Кыргызской Республики в государственные органы исполнительной власти согласно </w:t>
      </w:r>
      <w:hyperlink w:history="1" r:id="rIdi0-scq_n4yzqrxjlpl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Согласование проекта технического регламента/проекта изменений в технический регламент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Ответственный орган не позднее 3 рабочих дней со дня поступления от Администрации Президента Кыргызской Республики проекта технического регламента/проекта изменений в технический регламент направляет его в объединения предпринимателей (бизнес-ассоциации), предприятиям и организациям, заинтересованным органам для рассмотрения и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Ответственным органом из числа представителей объединения предпринимателей (бизнес-ассоциации), предприятий и организаций, заинтересованных органов (по согласованию) формируется состав рабочей группы для подготовки заключения по проекту технического регламента/проекту изменений в технический регламент и перечню документов согласно </w:t>
      </w:r>
      <w:hyperlink w:history="1" r:id="rIdlatuatbahd6khls1gr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рабочей группы оформляется по типовой форме согласно </w:t>
      </w:r>
      <w:hyperlink w:history="1" r:id="rIdpug5cmjbevb3uoxq8dn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которое учитывается при формировании позиции Кыргызской Республики по проекту технического регламента/проекту изменений в технический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Рабочую группу возглавляет руководитель (заместитель руководителя) ответственного органа. Заседание Рабочей группы оформляется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Согласование проекта технического регламента/проекта изменений в технический регламент с объединениями предпринимателей (бизнес-ассоциациями), предприятиями и организациями, заинтересованными органами осуществляется путем представления заключения, подписанного их руководителями.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должно содержать информацию о соответствии или не соответствии положений проекта технического регламента/проекта изменений в технический регламент интересам национальной экономики, уровню научно-технического развития, а также международным нормам и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разногласий по проекту технического регламента/проекту изменений в технический регламент ответственный орган проводит совещание для их обсуждения в срок не позднее 7 рабочих дней со дня получения последнего результата согласования. Итоги совещания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в ходе совещания разногласия по проекту технического регламента/проекту изменений в технический регламент не устранены, ответственный орган формирует проект позиции с включением в него спорных вопросов и направляет его в Администрацию Президента Кыргызской Республики для принятия соответствующего решения. Ответственным органом в соответствии с принятым решением Администрации Президента Кыргызской Республики формируется окончательная позиция Кыргызской Республики по проекту технического регламента/проекту изменений в технический регламент.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Формирование и представление позиции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внутригосударственного согласования проекта технического регламента/проекта изменений в технический регламент и перечня документов согласно приложению 1 к настоящему Положению ответственный орган формирует позицию Кыргызской Республики, согласовывает с координирующим органом и направляет ее в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позиции Кыргызской Республики представляется ответственным органом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документов, прилагаемых к проекту технического регламента Евразийского экономического союза/проекту изменений в технический регламент Таможенного союза/Евразийского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перечней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(далее - технический регламент), и перечней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и осуществления оценки соответствия объектов технического регулирования требованиям технического регламента (далее - перечни стандартов) (проект изменений в перечни стандартов).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программы по разработке (внесению изменений, пересмотру) межгосударственных стандартов, в результате применения которых на добровольной основе обеспечивается соблюдение требований технического регламента, и межгосударственных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и осуществления оценки соответствия объектов технического регулирования требованиям технического регламента (проект изменений в указанную программу).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международных стандартов (правил, директив, рекомендаций и иных документов, принятых международными организациями по стандартизации), а в случае их отсутствия - региональных документов (регламентов, директив, решений, стандартов, правил и иных документов), национальных (государственных) стандартов, национальных технических регламентов или их проектов, на основе которых разработан проект технического регламента (проект 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решения Совета Евразийской экономической комиссии о принятии технического регламента (о внесении изменений в технический регламент) и проект решения Коллегии Евразийской экономической комиссии о введении в действие принятого технического регламента (изменений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Пояснительная записка к проекту технического регламента (к проекту 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Пояснительная записка к проектам перечней стандартов (проекту изменений в перечни стандартов), подготовленная в соответствии с порядком разработки и принятия перечней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и перечней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и осуществления оценки соответствия объектов технического регулирования, утверждаемых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Сводка отзывов по проекту технического регламента (проекту 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по результатам проведения метрологической экспертизы проекта технического регламента (проекта изменений в технический регламент) и проектов перечней стандартов (проекта изменений в перечни стандартов) или заключение о том, что в результате проведения метрологической экспертизы установлено, что проект технического регламента не содержит объектов метрологической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Заключение об оценке регулирующего воздействия по проекту технического регламента (проекту 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переговоров руководителей (заместителей руководителей) заинтересованных органов государственной власти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рабочей группы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Наименование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 (далее - проект)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проекте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Результаты оценки на соответствие нормам национального законодательства, интересам национальной экономики и уровню научно-технического развития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Результаты оценки требований, устанавливаемых в проекте на соответствие международным стандартам (правилам, директивам, рекомендациям и иным документам, принятым международными организациями по стандартизации), а в случае их отсутствия - региональным документам, национальным (государственным) стандартам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Результаты оценки требований устанавливаемых в проекте и их исполнимость производителями/изготовителями продукции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Результаты по анализу возможности проведения процедур по оценке соответствия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Результаты оценки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приложении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Положению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Результаты оценки регулирующего воздействия на деятельность субъектов предпринимательства Кыргызской Республики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Подписи членов рабочей группы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lj8tymv7k98jh2fn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dalil.kg/document/160002</w:t>
      </w:r>
    </w:hyperlink>
  </w:p>
  <w:p>
    <w:pPr>
      <w:spacing w:after="0" w:before="40"/>
      <w:jc w:val="center"/>
    </w:pPr>
    <w:hyperlink w:history="1" r:id="rIdmqgvwkmn5eg1b3wq8wz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ij97dlf444ymln8_aaq" Type="http://schemas.openxmlformats.org/officeDocument/2006/relationships/hyperlink" Target="https://dalil.kg/document/159983" TargetMode="External"/><Relationship Id="rIdoshrjfl3tmpj9nk7sce-a" Type="http://schemas.openxmlformats.org/officeDocument/2006/relationships/hyperlink" Target="https://dalil.kg/document/160002#pr1" TargetMode="External"/><Relationship Id="rIdjpkiq8nhyfsicllwaxhce" Type="http://schemas.openxmlformats.org/officeDocument/2006/relationships/hyperlink" Target="https://dalil.kg/document/157550" TargetMode="External"/><Relationship Id="rIdqdmiu6q5zlwvxobt1rj4u" Type="http://schemas.openxmlformats.org/officeDocument/2006/relationships/hyperlink" Target="https://dalil.kg/document/159139" TargetMode="External"/><Relationship Id="rIdhkmyuy8woybloii8tolap" Type="http://schemas.openxmlformats.org/officeDocument/2006/relationships/hyperlink" Target="https://dalil.kg/document/159139" TargetMode="External"/><Relationship Id="rIdi0-scq_n4yzqrxjlpl1fm" Type="http://schemas.openxmlformats.org/officeDocument/2006/relationships/hyperlink" Target="https://dalil.kg/document/159139" TargetMode="External"/><Relationship Id="rIdlatuatbahd6khls1grwie" Type="http://schemas.openxmlformats.org/officeDocument/2006/relationships/hyperlink" Target="https://dalil.kg/document/160002#pr1" TargetMode="External"/><Relationship Id="rIdpug5cmjbevb3uoxq8dn1h" Type="http://schemas.openxmlformats.org/officeDocument/2006/relationships/hyperlink" Target="https://dalil.kg/document/160002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lj8tymv7k98jh2fnvyy" Type="http://schemas.openxmlformats.org/officeDocument/2006/relationships/hyperlink" Target="https://dalil.kg/document/160002" TargetMode="External"/><Relationship Id="rIdmqgvwkmn5eg1b3wq8wz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2026-09-28T17:42:09.158Z</dcterms:created>
  <dcterms:modified xsi:type="dcterms:W3CDTF">2026-09-28T17:42:09.158Z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