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2"/>
          <w:szCs w:val="22"/>
        </w:rPr>
        <w:t xml:space="preserve">УТРАТИЛО СИЛУ
  в соответствии с </w:t>
      </w:r>
      <w:hyperlink w:history="1" r:id="rIdamvmvk03vj8xau6oipcm2">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6 марта 2025 года № 118</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марта 2023 года № 140</w:t>
      </w:r>
    </w:p>
    <w:p>
      <w:pPr>
        <w:spacing w:after="400" w:before="4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в сфере государственной жилищной политики</w:t>
      </w:r>
    </w:p>
    <w:p>
      <w:pPr>
        <w:spacing w:after="60"/>
        <w:ind w:firstLine="567"/>
        <w:jc w:val="both"/>
      </w:pPr>
      <w:r>
        <w:rPr>
          <w:rFonts w:ascii="Arial" w:cs="Arial" w:eastAsia="Arial" w:hAnsi="Arial"/>
          <w:sz w:val="24"/>
          <w:szCs w:val="24"/>
        </w:rPr>
        <w:t xml:space="preserve">В целях реализации </w:t>
      </w:r>
      <w:hyperlink w:history="1" r:id="rId7bi7lovwn-5bfybhkhj5v">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государственном ипотечном жилищном кредитовании", в соответствии со статьями </w:t>
      </w:r>
      <w:hyperlink w:history="1" r:id="rIdunfjtgy7srar6drtr1ng_">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o9vhefxs5of8pv2zxs-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i4yjdmizfne5gdd6iqh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жилищной программы Кыргызской Республики "Мой дом 2021-2026" от 13 июля 2021 года № 75 следующие изменения:</w:t>
      </w:r>
    </w:p>
    <w:p>
      <w:pPr>
        <w:spacing w:after="60"/>
        <w:ind w:firstLine="567"/>
        <w:jc w:val="both"/>
      </w:pPr>
      <w:r>
        <w:rPr>
          <w:rFonts w:ascii="Arial" w:cs="Arial" w:eastAsia="Arial" w:hAnsi="Arial"/>
          <w:sz w:val="24"/>
          <w:szCs w:val="24"/>
        </w:rPr>
        <w:t xml:space="preserve">1) в </w:t>
      </w:r>
      <w:hyperlink w:history="1" r:id="rIdxcsbmluqnoztciumibpti">
        <w:r>
          <w:rPr>
            <w:rFonts w:ascii="Arial" w:cs="Arial" w:eastAsia="Arial" w:hAnsi="Arial"/>
            <w:color w:val="1D4ED8"/>
            <w:sz w:val="24"/>
            <w:szCs w:val="24"/>
            <w:u w:val="single"/>
          </w:rPr>
          <w:t xml:space="preserve">жилищной программе</w:t>
        </w:r>
      </w:hyperlink>
      <w:r>
        <w:rPr>
          <w:rFonts w:ascii="Arial" w:cs="Arial" w:eastAsia="Arial" w:hAnsi="Arial"/>
          <w:sz w:val="24"/>
          <w:szCs w:val="24"/>
        </w:rPr>
        <w:t xml:space="preserve"> Кыргызской Республики "Мой дом 2021-2026", утвержденной вышеуказанным </w:t>
      </w:r>
      <w:hyperlink w:history="1" r:id="rIdafzf12yy9lnlpnlhbfud5">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подпункт 6 пункта 20 изложить в следующей редакции:</w:t>
      </w:r>
    </w:p>
    <w:p>
      <w:pPr>
        <w:spacing w:after="60"/>
        <w:ind w:firstLine="567"/>
        <w:jc w:val="both"/>
      </w:pPr>
      <w:r>
        <w:rPr>
          <w:rFonts w:ascii="Arial" w:cs="Arial" w:eastAsia="Arial" w:hAnsi="Arial"/>
          <w:sz w:val="24"/>
          <w:szCs w:val="24"/>
        </w:rPr>
        <w:t xml:space="preserve">"6) принимая во внимание специфику и условия международных доноров при предоставлении инвестиционных средств, а также учитывая ограниченность средств республиканского бюджета, в рамках настоящей Программы будут определены три основных направления жилищного финансирования: "Социальная ипотека", "Льготная ипотека" и "Доступная ипотека". По направлению "Социальная ипотека" планируется в основном реализовывать механизм "Арендное жилье с последующим выкупом". Направление "Льготная ипотека" преимущественно будет реализовываться через систему контрактных жилищных сбережений. По направлению "Доступная ипотека" жилищное финансирование будет доступно для всех граждан страны вне зависимости от сферы трудовой деятельности.";</w:t>
      </w:r>
    </w:p>
    <w:p>
      <w:pPr>
        <w:spacing w:after="60"/>
        <w:ind w:firstLine="567"/>
        <w:jc w:val="both"/>
      </w:pPr>
      <w:r>
        <w:rPr>
          <w:rFonts w:ascii="Arial" w:cs="Arial" w:eastAsia="Arial" w:hAnsi="Arial"/>
          <w:sz w:val="24"/>
          <w:szCs w:val="24"/>
        </w:rPr>
        <w:t xml:space="preserve">2) </w:t>
      </w:r>
      <w:hyperlink w:history="1" r:id="rIdfral4sjistbaqx-aqeuo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отбора участников жилищной программы Кыргызской Республики "Мой дом 2021-2026" изложить в редакции согласно </w:t>
      </w:r>
      <w:hyperlink w:history="1" r:id="rId0mtktxr0yw4l2j3hbln4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Признать утратившим силу подпункт 3 пункта 2 </w:t>
      </w:r>
      <w:hyperlink w:history="1" r:id="rIdtozkrhnviz5gargaqmej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государственной жилищной политики" от 14 апреля 2022 года № 217.</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s-yqw2isb8csbmugo8l7q">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 </w:t>
      </w:r>
      <w:r>
        <w:rPr>
          <w:rFonts w:ascii="Arial" w:cs="Arial" w:eastAsia="Arial" w:hAnsi="Arial"/>
          <w:b/>
          <w:bCs/>
          <w:sz w:val="24"/>
          <w:szCs w:val="24"/>
        </w:rPr>
        <w:t xml:space="preserve">отбора участников жилищной программы Кыргызской Республики "Мой дом 2021-2026"</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отбора участников жилищной программы Кыргызской Республики "Мой дом 2021-2026" (далее - Порядок) устанавливает критерии отбора, порядок формирования и отбора участников, определяет условия выдачи ипотечных кредитов, кредитов на капитальный ремонт имеющегося жилья, условия предоставления жилья в аренду с последующим выкупом, расширения имеющегося жилья, а также требования к приобретаемому жилью в рамках реализации жилищной программы Кыргызской Республики "Мой дом 2021-2026" (далее - Программа).</w:t>
      </w:r>
    </w:p>
    <w:p>
      <w:pPr>
        <w:spacing w:after="6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участник Программы</w:t>
      </w:r>
      <w:r>
        <w:rPr>
          <w:rFonts w:ascii="Arial" w:cs="Arial" w:eastAsia="Arial" w:hAnsi="Arial"/>
          <w:sz w:val="24"/>
          <w:szCs w:val="24"/>
        </w:rPr>
        <w:t xml:space="preserve"> - гражданин Кыргызской Республики, подавший заявку на участие в Программе, соответствующий критериям отбора настоящего Порядка и принимающий участие в Программе;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критерии отбора</w:t>
      </w:r>
      <w:r>
        <w:rPr>
          <w:rFonts w:ascii="Arial" w:cs="Arial" w:eastAsia="Arial" w:hAnsi="Arial"/>
          <w:sz w:val="24"/>
          <w:szCs w:val="24"/>
        </w:rPr>
        <w:t xml:space="preserve"> - требования к гражданам для участия в Программе, установленные настоящим Порядком;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 (далее - жилье)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отвечающая критериям настоящего Порядка;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открытое акционерное общество "Государственная Ипотечная Компания" (далее - ГИК)</w:t>
      </w:r>
      <w:r>
        <w:rPr>
          <w:rFonts w:ascii="Arial" w:cs="Arial" w:eastAsia="Arial" w:hAnsi="Arial"/>
          <w:sz w:val="24"/>
          <w:szCs w:val="24"/>
        </w:rPr>
        <w:t xml:space="preserve"> - уполномоченный орган в сфере ипотечного жилищного кредитования, юридическое лицо, образованное в форме открытого акционерного общества, одним из предметов деятельности которого является реализация Программы;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Соглашение о сотрудничестве </w:t>
      </w:r>
      <w:r>
        <w:rPr>
          <w:rFonts w:ascii="Arial" w:cs="Arial" w:eastAsia="Arial" w:hAnsi="Arial"/>
          <w:sz w:val="24"/>
          <w:szCs w:val="24"/>
        </w:rPr>
        <w:t xml:space="preserve">- Генеральное соглашение о сотрудничестве, заключенное между банком-партнером и ГИК относительно предоставления инвестиционных денежных средств банкам-партнерам на рефинансирование или финансирование ипотечных кредитов участникам Программы на приобретение и строительство жилья и проведение капитального ремонта имеющегося жилья, в рамках реализации Программы. Также Соглашение о сотрудничестве предусматривает права перехода требований по ипотечным кредитам в пользу ГИК;</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банк-партнер</w:t>
      </w:r>
      <w:r>
        <w:rPr>
          <w:rFonts w:ascii="Arial" w:cs="Arial" w:eastAsia="Arial" w:hAnsi="Arial"/>
          <w:sz w:val="24"/>
          <w:szCs w:val="24"/>
        </w:rPr>
        <w:t xml:space="preserve"> - финансово-кредитное учреждение, заключившее Генеральное соглашение о сотрудничестве с ГИК по предоставлению инвестиционных денежных средств на финансирование и рефинансирование ипотечных кредитов участникам Программы и переход требований по ипотечным кредитам в пользу ГИК;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трудовой стаж</w:t>
      </w:r>
      <w:r>
        <w:rPr>
          <w:rFonts w:ascii="Arial" w:cs="Arial" w:eastAsia="Arial" w:hAnsi="Arial"/>
          <w:sz w:val="24"/>
          <w:szCs w:val="24"/>
        </w:rPr>
        <w:t xml:space="preserve"> - продолжительность работы в организации либо период осуществления предпринимательской/экономической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платежеспособность</w:t>
      </w:r>
      <w:r>
        <w:rPr>
          <w:rFonts w:ascii="Arial" w:cs="Arial" w:eastAsia="Arial" w:hAnsi="Arial"/>
          <w:sz w:val="24"/>
          <w:szCs w:val="24"/>
        </w:rPr>
        <w:t xml:space="preserve"> - способность участника Программы своевременно и полностью выполнить финансовые обязательства, вытекающие из заключения кредитного договора, арендного договора с последующим выкупом, лизинг жилья;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сельская местность</w:t>
      </w:r>
      <w:r>
        <w:rPr>
          <w:rFonts w:ascii="Arial" w:cs="Arial" w:eastAsia="Arial" w:hAnsi="Arial"/>
          <w:sz w:val="24"/>
          <w:szCs w:val="24"/>
        </w:rPr>
        <w:t xml:space="preserve"> - населенные пункты, за исключением городов (республиканского, областного и районного значения);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жилищно-сберегательная кредитная система (далее - ЖСКС)</w:t>
      </w:r>
      <w:r>
        <w:rPr>
          <w:rFonts w:ascii="Arial" w:cs="Arial" w:eastAsia="Arial" w:hAnsi="Arial"/>
          <w:sz w:val="24"/>
          <w:szCs w:val="24"/>
        </w:rPr>
        <w:t xml:space="preserve"> - система жилищного финансирования, основанная на привлечении денежных средств граждан Кыргызской Республики в жилищно-сберегательные вклады (депозиты) и последующего предоставлении им долгосрочных целевых кредитов в соответствии с условиями генерального соглашения и/или кредитного договора;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жилищно-сберегательная кредитная компания (далее - ЖСКК)</w:t>
      </w:r>
      <w:r>
        <w:rPr>
          <w:rFonts w:ascii="Arial" w:cs="Arial" w:eastAsia="Arial" w:hAnsi="Arial"/>
          <w:sz w:val="24"/>
          <w:szCs w:val="24"/>
        </w:rPr>
        <w:t xml:space="preserve"> - небанковская финансово-кредитная организация, имеющая лицензию Национального банка Кыргызской Республики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ипотечный кредит ГИК-ЖСКК</w:t>
      </w:r>
      <w:r>
        <w:rPr>
          <w:rFonts w:ascii="Arial" w:cs="Arial" w:eastAsia="Arial" w:hAnsi="Arial"/>
          <w:sz w:val="24"/>
          <w:szCs w:val="24"/>
        </w:rPr>
        <w:t xml:space="preserve"> - кредит на приобретение жилья или строительство индивидуального жилья, предусматривающий обязательное накопление первоначального взноса посредством жилищно-сберегательного вклада (депозита) в ЖСКК с последующим софинансированием со стороны ГИК в размере не более 40% от стоимости приобретаемого/строящегося жилья и со стороны ЖСКК не менее 30%;</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генеральное соглашение</w:t>
      </w:r>
      <w:r>
        <w:rPr>
          <w:rFonts w:ascii="Arial" w:cs="Arial" w:eastAsia="Arial" w:hAnsi="Arial"/>
          <w:sz w:val="24"/>
          <w:szCs w:val="24"/>
        </w:rPr>
        <w:t xml:space="preserve"> - генеральное соглашение между ЖСКК и участником Программы, содержащее основные условия договора жилищно-сберегательного вклада (депозита) и предоставления в последующем ипотечного кредита;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жилищно-сберегательный вклад (депозит)</w:t>
      </w:r>
      <w:r>
        <w:rPr>
          <w:rFonts w:ascii="Arial" w:cs="Arial" w:eastAsia="Arial" w:hAnsi="Arial"/>
          <w:sz w:val="24"/>
          <w:szCs w:val="24"/>
        </w:rPr>
        <w:t xml:space="preserve"> - сумма денежных средств в национальной валюте, внесенных вкладчиками жилищно-сберегательной кредитной компании на счет жилищно-сберегательной кредитной компании и направленных на улучшение жилищных условий вкладчика жилищно-сберегательной кредитной компании;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договор жилищно-сберегательного вклада (депозита)</w:t>
      </w:r>
      <w:r>
        <w:rPr>
          <w:rFonts w:ascii="Arial" w:cs="Arial" w:eastAsia="Arial" w:hAnsi="Arial"/>
          <w:sz w:val="24"/>
          <w:szCs w:val="24"/>
        </w:rPr>
        <w:t xml:space="preserve"> - договор между ЖСКК и участником, по которому участник аккумулирует фиксированную сумму собственных денежных средств на счете в ЖСКК для получения кредита в соответствии с Генеральным соглашением;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оценочный показатель</w:t>
      </w:r>
      <w:r>
        <w:rPr>
          <w:rFonts w:ascii="Arial" w:cs="Arial" w:eastAsia="Arial" w:hAnsi="Arial"/>
          <w:sz w:val="24"/>
          <w:szCs w:val="24"/>
        </w:rPr>
        <w:t xml:space="preserve"> - расчетная величина, определяемая ЖСКК в Генеральном соглашении с участником Программы для формирования очередности выплаты договорных сумм, выступающая как индикатор финансовой дисциплины участника Программы для установления условий кредитования (срока получения кредита, срока кредитования, процентной ставки и других условий);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жилищное финансирование</w:t>
      </w:r>
      <w:r>
        <w:rPr>
          <w:rFonts w:ascii="Arial" w:cs="Arial" w:eastAsia="Arial" w:hAnsi="Arial"/>
          <w:sz w:val="24"/>
          <w:szCs w:val="24"/>
        </w:rPr>
        <w:t xml:space="preserve"> - совокупность механизмов приобретения или строительства жилья: ипотечный кредит ГИК-ЖСКК, ипотечный кредит через банки-партнеры ГИК, арендное жилье с последующим выкупом, жилищное обеспечение по исламским принципам финансирования, лизинг и жилищное кредитование с применением "зеленых" принципов финансирования;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период ожидания</w:t>
      </w:r>
      <w:r>
        <w:rPr>
          <w:rFonts w:ascii="Arial" w:cs="Arial" w:eastAsia="Arial" w:hAnsi="Arial"/>
          <w:sz w:val="24"/>
          <w:szCs w:val="24"/>
        </w:rPr>
        <w:t xml:space="preserve"> - период ожидания получения кредита, промежуток времени до 6 (шести) месяцев, начинающийся с момента исполнения участником всех условий Генерального соглашения и до момента получения участником ипотечного кредита;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Координационный совет</w:t>
      </w:r>
      <w:r>
        <w:rPr>
          <w:rFonts w:ascii="Arial" w:cs="Arial" w:eastAsia="Arial" w:hAnsi="Arial"/>
          <w:sz w:val="24"/>
          <w:szCs w:val="24"/>
        </w:rPr>
        <w:t xml:space="preserve"> - Координационный совет по мониторингу реализации государственной жилищной политики, созданный </w:t>
      </w:r>
      <w:hyperlink w:history="1" r:id="rIdv-uypjuewtdolvssjse33">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августа 2020 года № 276-р;</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ипотечная гарантия</w:t>
      </w:r>
      <w:r>
        <w:rPr>
          <w:rFonts w:ascii="Arial" w:cs="Arial" w:eastAsia="Arial" w:hAnsi="Arial"/>
          <w:sz w:val="24"/>
          <w:szCs w:val="24"/>
        </w:rPr>
        <w:t xml:space="preserve"> - обязательство гарантийных фондов перед банком-партнером ГИК нести ответственность за исполнение части обязательств по основному долгу участника Программы, в пределах суммы предоставленной ипотечной гарантии.</w:t>
      </w:r>
    </w:p>
    <w:p>
      <w:pPr>
        <w:spacing w:after="200" w:before="200"/>
        <w:jc w:val="center"/>
      </w:pPr>
      <w:r>
        <w:rPr>
          <w:rFonts w:ascii="Arial" w:cs="Arial" w:eastAsia="Arial" w:hAnsi="Arial"/>
          <w:b/>
          <w:bCs/>
          <w:sz w:val="32"/>
          <w:szCs w:val="32"/>
        </w:rPr>
        <w:t xml:space="preserve">Глава 2. Критерии отбора участников Программы по направлениям жилищного финансирования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Жилищное финансирование по направлению "Льготная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2121"/>
        <w:gridCol w:w="3438"/>
        <w:gridCol w:w="4379"/>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3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4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Ипотечный кредит ГИК - ЖСКК.</w:t>
            </w:r>
          </w:p>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государственных и муниципальных организациях</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года или стажа работы в данной организации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4. Жилищное финансирование по направлению "Доступная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2070"/>
        <w:gridCol w:w="2097"/>
        <w:gridCol w:w="5578"/>
      </w:tblGrid>
      <w:tr>
        <w:tc>
          <w:tcPr>
            <w:tcW w:type="dxa" w:w="4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5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Ипотечный кредит ГИК-ЖСКК</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стажа/периода осуществления предпринимательской/экономической деятельности не менее 7 (семи) лет;</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отсутствие жилья и каких-либо гражданско-правовых сделок с жилым помещением у бывшего супруга (супруги) участника на всей территории Кыргызской Республики за последние 2 (два) года до даты подачи заявления на участие в Программе, в случае расторжения брака участника в течение последних 2 (двух) лет;</w:t>
            </w:r>
          </w:p>
          <w:p>
            <w:pPr>
              <w:jc w:val="left"/>
            </w:pPr>
            <w:r>
              <w:rPr>
                <w:rFonts w:ascii="Arial" w:cs="Arial" w:eastAsia="Arial" w:hAnsi="Arial"/>
                <w:sz w:val="24"/>
                <w:szCs w:val="24"/>
              </w:rPr>
              <w:t xml:space="preserve">- платежеспособность участника</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5. Жилищное финансирование по направлению "Социальная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887"/>
        <w:gridCol w:w="3670"/>
        <w:gridCol w:w="4379"/>
      </w:tblGrid>
      <w:tr>
        <w:tc>
          <w:tcPr>
            <w:tcW w:type="dxa" w:w="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3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4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и государственных и муниципальных организациях</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15 (пятнадцати) лет в учреждениях, указанных в данном пункте;</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и коммерческой недвижимости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и на коммерческую недвижимость на всей территории Кыргызской Республики, за последние 5 (пять) лет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p>
            <w:pPr>
              <w:jc w:val="left"/>
            </w:pPr>
            <w:r>
              <w:rPr>
                <w:rFonts w:ascii="Arial" w:cs="Arial" w:eastAsia="Arial" w:hAnsi="Arial"/>
                <w:sz w:val="24"/>
                <w:szCs w:val="24"/>
              </w:rPr>
              <w:t xml:space="preserve">- отсутствие жилья и каких-либо гражданско-правовых сделок с жилым помещением у бывшего супруга (супруги) участника на всей территории Кыргызской Республики за последние 2 (два) года до даты подачи заявления на участие в Программе в случае расторжения брака участника в течение последних 2 (два) лет</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Многодетная семья, вне зависимости от сферы осуществления трудовой деятельности</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наличие не менее 5 (пять) детей в возрасте до 21 (двадцать один) года;</w:t>
            </w:r>
          </w:p>
          <w:p>
            <w:pPr>
              <w:jc w:val="left"/>
            </w:pPr>
            <w:r>
              <w:rPr>
                <w:rFonts w:ascii="Arial" w:cs="Arial" w:eastAsia="Arial" w:hAnsi="Arial"/>
                <w:sz w:val="24"/>
                <w:szCs w:val="24"/>
              </w:rPr>
              <w:t xml:space="preserve">- отсутствие у участника, супруга (супруги) участника и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с ограниченными возможностями здоровья или лица, воспитывающие детей с ограниченными возможностями здоровья или имеющие в составе семьи лиц с ограниченными возможностями здоровья, вне зависимости от сферы осуществления трудовой деятельности</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(не состоящие в браке), имеющие несовершеннолетнего ребенка/детей, в свидетельстве о рождении которых отсутствует запись об одном из родителей.</w:t>
            </w:r>
          </w:p>
          <w:p>
            <w:pPr>
              <w:jc w:val="left"/>
            </w:pPr>
            <w:r>
              <w:rPr>
                <w:rFonts w:ascii="Arial" w:cs="Arial" w:eastAsia="Arial" w:hAnsi="Arial"/>
                <w:sz w:val="24"/>
                <w:szCs w:val="24"/>
              </w:rPr>
              <w:t xml:space="preserve">Вдовы и вдовцы (не состоящие в браке), имеющие несовершеннолетнего ребенка/детей</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специалисты, осуществляющие трудовую и экономическую/предпринимательскую деятельность в сельской местности, вне зависимости от сферы осуществления трудовой деятельности</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и до 28 (двадцать восемь) лет на момент подачи заявления на участие в Программе;</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жилье приобретается по месту трудовой деятельности в сельской местности;</w:t>
            </w:r>
          </w:p>
          <w:p>
            <w:pPr>
              <w:jc w:val="left"/>
            </w:pPr>
            <w:r>
              <w:rPr>
                <w:rFonts w:ascii="Arial" w:cs="Arial" w:eastAsia="Arial" w:hAnsi="Arial"/>
                <w:sz w:val="24"/>
                <w:szCs w:val="24"/>
              </w:rPr>
              <w:t xml:space="preserve">- платежеспособность участника</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6. Примечания к критериям отбора Программы:</w:t>
      </w:r>
    </w:p>
    <w:p>
      <w:pPr>
        <w:spacing w:after="60"/>
        <w:ind w:firstLine="567"/>
        <w:jc w:val="both"/>
      </w:pPr>
      <w:r>
        <w:rPr>
          <w:rFonts w:ascii="Arial" w:cs="Arial" w:eastAsia="Arial" w:hAnsi="Arial"/>
          <w:sz w:val="24"/>
          <w:szCs w:val="24"/>
        </w:rPr>
        <w:t xml:space="preserve">1) допускается участие в Программе в случае наличия у участника супруга (супруги) и несовершеннолетних детей участника общей доли в жилье не более 20 (двадцати) кв.м при условии, если у них отсутствуют какие-либо гражданско-правовые сделки, связанные с переходом права собственности на жилье на всей территории Кыргызской Республики за последние 3 (три) года до даты подачи заявления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2) допускается участие в Программе в случае наличия доли не более 20 кв.м в жилье, наследованном по закону участником, супругом (супругой) участника и несовершеннолетними детьми участника. Допускается участие в Программе в случае наличия гражданско-правовой сделки, связанного с долей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3) в рамках ЖСКС по собственным механизмам жилищного финансирования ЖСКК, без софинансирования ГИК, допускается участие в Программе граждан Кыргызской Республики без учета критериев настоящего Порядка, в том числе граждан, осуществляющих трудовую деятельность за пределами Кыргызской Республики. Условия жилищного финансирования устанавливаются ЖСКК;</w:t>
      </w:r>
    </w:p>
    <w:p>
      <w:pPr>
        <w:spacing w:after="60"/>
        <w:ind w:firstLine="567"/>
        <w:jc w:val="both"/>
      </w:pPr>
      <w:r>
        <w:rPr>
          <w:rFonts w:ascii="Arial" w:cs="Arial" w:eastAsia="Arial" w:hAnsi="Arial"/>
          <w:sz w:val="24"/>
          <w:szCs w:val="24"/>
        </w:rPr>
        <w:t xml:space="preserve">4) в рамках механизмов капитального ремонта и расширения имеющегося жилья допускается участие в Программе граждан Кыргызской Республики, имеющих в наличии собственное жилье. Критерии отбора и условия жилищного финансирования по механизмам будут разрабатываться в соответствии с условиями межправительственных и иных соглашений, заключенных с донорами/инвесторами, предоставившими инвестиционные средства для реализации данных механизмов Программы;</w:t>
      </w:r>
    </w:p>
    <w:p>
      <w:pPr>
        <w:spacing w:after="60"/>
        <w:ind w:firstLine="567"/>
        <w:jc w:val="both"/>
      </w:pPr>
      <w:r>
        <w:rPr>
          <w:rFonts w:ascii="Arial" w:cs="Arial" w:eastAsia="Arial" w:hAnsi="Arial"/>
          <w:sz w:val="24"/>
          <w:szCs w:val="24"/>
        </w:rPr>
        <w:t xml:space="preserve">5) Координационный совет определяет порядок и условия предоставления жилья для социально незащищенных категорий населения. Список социально незащищенных категорий населения с учетом источников ресурсов для жилищного финансирования вносится на рассмотрение Координационного совета государственным органом исполнительной власти, осуществляющим государственную политику в сфере поддержки социально незащищенных категорий граждан;</w:t>
      </w:r>
    </w:p>
    <w:p>
      <w:pPr>
        <w:spacing w:after="60"/>
        <w:ind w:firstLine="567"/>
        <w:jc w:val="both"/>
      </w:pPr>
      <w:r>
        <w:rPr>
          <w:rFonts w:ascii="Arial" w:cs="Arial" w:eastAsia="Arial" w:hAnsi="Arial"/>
          <w:sz w:val="24"/>
          <w:szCs w:val="24"/>
        </w:rPr>
        <w:t xml:space="preserve">6) по направлению "Доступная ипотека" могут быть установлены дополнительные критерии отбора и условия жилищного финансирования в соответствии с межправительственными и иными соглашениями, заключенными с донорами/инвесторами, предоставившими инвестиционные средства для реализации Программы;</w:t>
      </w:r>
    </w:p>
    <w:p>
      <w:pPr>
        <w:spacing w:after="60"/>
        <w:ind w:firstLine="567"/>
        <w:jc w:val="both"/>
      </w:pPr>
      <w:r>
        <w:rPr>
          <w:rFonts w:ascii="Arial" w:cs="Arial" w:eastAsia="Arial" w:hAnsi="Arial"/>
          <w:sz w:val="24"/>
          <w:szCs w:val="24"/>
        </w:rPr>
        <w:t xml:space="preserve">7) решением Координационного совета могут быть установлены дополнительные критерии отбора и условия по механизму арендного жилья с последующим выкупом;</w:t>
      </w:r>
    </w:p>
    <w:p>
      <w:pPr>
        <w:spacing w:after="60"/>
        <w:ind w:firstLine="567"/>
        <w:jc w:val="both"/>
      </w:pPr>
      <w:r>
        <w:rPr>
          <w:rFonts w:ascii="Arial" w:cs="Arial" w:eastAsia="Arial" w:hAnsi="Arial"/>
          <w:sz w:val="24"/>
          <w:szCs w:val="24"/>
        </w:rPr>
        <w:t xml:space="preserve">8) по представлению государственных органов и ведомств решением Координационного совета в направление "Социальная ипотека" могут быть включены дополнительные категории граждан;</w:t>
      </w:r>
    </w:p>
    <w:p>
      <w:pPr>
        <w:spacing w:after="60"/>
        <w:ind w:firstLine="567"/>
        <w:jc w:val="both"/>
      </w:pPr>
      <w:r>
        <w:rPr>
          <w:rFonts w:ascii="Arial" w:cs="Arial" w:eastAsia="Arial" w:hAnsi="Arial"/>
          <w:sz w:val="24"/>
          <w:szCs w:val="24"/>
        </w:rPr>
        <w:t xml:space="preserve">9) участник, а также супруг (супруга) участника обеспечиваются жилищным финансированием в рамках Программы не более 1 (один) раза;</w:t>
      </w:r>
    </w:p>
    <w:p>
      <w:pPr>
        <w:spacing w:after="60"/>
        <w:ind w:firstLine="567"/>
        <w:jc w:val="both"/>
      </w:pPr>
      <w:r>
        <w:rPr>
          <w:rFonts w:ascii="Arial" w:cs="Arial" w:eastAsia="Arial" w:hAnsi="Arial"/>
          <w:sz w:val="24"/>
          <w:szCs w:val="24"/>
        </w:rPr>
        <w:t xml:space="preserve">10) нормы настоящего Порядка действуют для участников, подавших электронную заявку на участие в Программе после 15 февраля 2023 года, для участников подавших электронную заявку на участие в Программе по 14 февраля 2023 года применяется редакция </w:t>
      </w:r>
      <w:hyperlink w:history="1" r:id="rIdtii0qir6nd1qidcs6lix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утвержденного </w:t>
      </w:r>
      <w:hyperlink w:history="1" r:id="rIdoqgzos2nfnoldpvu_o8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13 июля 2021 года № 75, в том числе в редакции </w:t>
      </w:r>
      <w:hyperlink w:history="1" r:id="rIdeq1zoz8wfvj4bgendn0m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14 апреля 2022 года № 217.</w:t>
      </w:r>
    </w:p>
    <w:p>
      <w:pPr>
        <w:spacing w:after="200" w:before="200"/>
        <w:jc w:val="center"/>
      </w:pPr>
      <w:r>
        <w:rPr>
          <w:rFonts w:ascii="Arial" w:cs="Arial" w:eastAsia="Arial" w:hAnsi="Arial"/>
          <w:b/>
          <w:bCs/>
          <w:sz w:val="32"/>
          <w:szCs w:val="32"/>
        </w:rPr>
        <w:t xml:space="preserve">Глава 3. Формирование списка участников и их отбор</w:t>
      </w:r>
    </w:p>
    <w:p>
      <w:pPr>
        <w:spacing w:after="60"/>
        <w:ind w:firstLine="567"/>
        <w:jc w:val="both"/>
      </w:pPr>
      <w:r>
        <w:rPr>
          <w:rFonts w:ascii="Arial" w:cs="Arial" w:eastAsia="Arial" w:hAnsi="Arial"/>
          <w:sz w:val="24"/>
          <w:szCs w:val="24"/>
        </w:rPr>
        <w:t xml:space="preserve">7. В целях обеспечения прозрачности формирования списков участников Программы, ГИК внедрена электронная форма подачи заявок на участие в Программе через автоматизированную информационную систему.</w:t>
      </w:r>
    </w:p>
    <w:p>
      <w:pPr>
        <w:spacing w:after="60"/>
        <w:ind w:firstLine="567"/>
        <w:jc w:val="both"/>
      </w:pPr>
      <w:r>
        <w:rPr>
          <w:rFonts w:ascii="Arial" w:cs="Arial" w:eastAsia="Arial" w:hAnsi="Arial"/>
          <w:sz w:val="24"/>
          <w:szCs w:val="24"/>
        </w:rPr>
        <w:t xml:space="preserve">8. Граждане подают электронную форму заявок на участие в Программе путем регистрации на официальном веб-сайте ГИК, а также посредством платформ, предоставляющих электронные государственные и муниципальные услуги, в том числе мобильных приложений сотовых операторов и ЖСКК.</w:t>
      </w:r>
    </w:p>
    <w:p>
      <w:pPr>
        <w:spacing w:after="60"/>
        <w:ind w:firstLine="567"/>
        <w:jc w:val="both"/>
      </w:pPr>
      <w:r>
        <w:rPr>
          <w:rFonts w:ascii="Arial" w:cs="Arial" w:eastAsia="Arial" w:hAnsi="Arial"/>
          <w:sz w:val="24"/>
          <w:szCs w:val="24"/>
        </w:rPr>
        <w:t xml:space="preserve">9. В случае отсутствия возможности самостоятельной подачи заявки в электронной форме граждане могут обратиться в мэрии городов (за исключением мэрии города Бишкек), муниципальные администрации мэрии города Бишкек по административным районам, местные государственные администрации, банки-партнеры ГИК и ЖСКК для подачи электронной формы заявки посредством автоматизированной информационной системы на веб-сайте ГИК.</w:t>
      </w:r>
    </w:p>
    <w:p>
      <w:pPr>
        <w:spacing w:after="60"/>
        <w:ind w:firstLine="567"/>
        <w:jc w:val="both"/>
      </w:pPr>
      <w:r>
        <w:rPr>
          <w:rFonts w:ascii="Arial" w:cs="Arial" w:eastAsia="Arial" w:hAnsi="Arial"/>
          <w:sz w:val="24"/>
          <w:szCs w:val="24"/>
        </w:rPr>
        <w:t xml:space="preserve">10. Для работы с автоматизированной информационной системой на веб-сайте ГИК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и ЖСКК проходят авторизацию в автоматизированной информационной системе на веб-сайте ГИК.</w:t>
      </w:r>
    </w:p>
    <w:p>
      <w:pPr>
        <w:spacing w:after="60"/>
        <w:ind w:firstLine="567"/>
        <w:jc w:val="both"/>
      </w:pPr>
      <w:r>
        <w:rPr>
          <w:rFonts w:ascii="Arial" w:cs="Arial" w:eastAsia="Arial" w:hAnsi="Arial"/>
          <w:sz w:val="24"/>
          <w:szCs w:val="24"/>
        </w:rPr>
        <w:t xml:space="preserve">11.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и ЖСКК при обращении граждан:</w:t>
      </w:r>
    </w:p>
    <w:p>
      <w:pPr>
        <w:spacing w:after="60"/>
        <w:ind w:firstLine="567"/>
        <w:jc w:val="both"/>
      </w:pPr>
      <w:r>
        <w:rPr>
          <w:rFonts w:ascii="Arial" w:cs="Arial" w:eastAsia="Arial" w:hAnsi="Arial"/>
          <w:sz w:val="24"/>
          <w:szCs w:val="24"/>
        </w:rPr>
        <w:t xml:space="preserve">1) регистрируют граждан на веб-сайте;</w:t>
      </w:r>
    </w:p>
    <w:p>
      <w:pPr>
        <w:spacing w:after="60"/>
        <w:ind w:firstLine="567"/>
        <w:jc w:val="both"/>
      </w:pPr>
      <w:r>
        <w:rPr>
          <w:rFonts w:ascii="Arial" w:cs="Arial" w:eastAsia="Arial" w:hAnsi="Arial"/>
          <w:sz w:val="24"/>
          <w:szCs w:val="24"/>
        </w:rPr>
        <w:t xml:space="preserve">2) проводят процедуру идентификации граждан, зарегистрировавшихся на веб-сайте ГИК;</w:t>
      </w:r>
    </w:p>
    <w:p>
      <w:pPr>
        <w:spacing w:after="60"/>
        <w:ind w:firstLine="567"/>
        <w:jc w:val="both"/>
      </w:pPr>
      <w:r>
        <w:rPr>
          <w:rFonts w:ascii="Arial" w:cs="Arial" w:eastAsia="Arial" w:hAnsi="Arial"/>
          <w:sz w:val="24"/>
          <w:szCs w:val="24"/>
        </w:rPr>
        <w:t xml:space="preserve">3) принимают письменное согласие от гражданина и его супруги/а на обработку персональных данных по форме согласно приложению к настоящему Порядку. Письменное согласие на обработку персональных данных принимается в исключительном случае отсутствия возможности использования мобильных приложений;</w:t>
      </w:r>
    </w:p>
    <w:p>
      <w:pPr>
        <w:spacing w:after="60"/>
        <w:ind w:firstLine="567"/>
        <w:jc w:val="both"/>
      </w:pPr>
      <w:r>
        <w:rPr>
          <w:rFonts w:ascii="Arial" w:cs="Arial" w:eastAsia="Arial" w:hAnsi="Arial"/>
          <w:sz w:val="24"/>
          <w:szCs w:val="24"/>
        </w:rPr>
        <w:t xml:space="preserve">4) формируют окончательную электронную заявку на участие в Программе;</w:t>
      </w:r>
    </w:p>
    <w:p>
      <w:pPr>
        <w:spacing w:after="60"/>
        <w:ind w:firstLine="567"/>
        <w:jc w:val="both"/>
      </w:pPr>
      <w:r>
        <w:rPr>
          <w:rFonts w:ascii="Arial" w:cs="Arial" w:eastAsia="Arial" w:hAnsi="Arial"/>
          <w:sz w:val="24"/>
          <w:szCs w:val="24"/>
        </w:rPr>
        <w:t xml:space="preserve">5) окончательная электронная заявка на участие в Программе должна быть сформирована в течение 3 (три) месяцев со дня регистрации, в противном случае регистрация без сформированной заявки удаляется с веб-сайта ГИК;</w:t>
      </w:r>
    </w:p>
    <w:p>
      <w:pPr>
        <w:spacing w:after="60"/>
        <w:ind w:firstLine="567"/>
        <w:jc w:val="both"/>
      </w:pPr>
      <w:r>
        <w:rPr>
          <w:rFonts w:ascii="Arial" w:cs="Arial" w:eastAsia="Arial" w:hAnsi="Arial"/>
          <w:sz w:val="24"/>
          <w:szCs w:val="24"/>
        </w:rPr>
        <w:t xml:space="preserve">6) при каждом изменении электронной заявки и на каждом этапе рассмотрения участнику Программы направляются уведомления на сотовый номер телефона, на электронную почту, а также в личном кабинете участника Программы на электронном портале размещена соответствующая информация.</w:t>
      </w:r>
    </w:p>
    <w:p>
      <w:pPr>
        <w:spacing w:after="60"/>
        <w:ind w:firstLine="567"/>
        <w:jc w:val="both"/>
      </w:pPr>
      <w:r>
        <w:rPr>
          <w:rFonts w:ascii="Arial" w:cs="Arial" w:eastAsia="Arial" w:hAnsi="Arial"/>
          <w:sz w:val="24"/>
          <w:szCs w:val="24"/>
        </w:rPr>
        <w:t xml:space="preserve">Граждане, зарегистрировавшиеся на веб-сайте ГИК, могут пройти процедуру удаленной онлайн идентификации посредством различных платформ, предоставляющих электронные государственные и муниципальные услуги, в том числе через мобильные приложения сотовых операторов и ЖСКК, а также посредством Единой системы идентификации - ЕСИ в соответствии с </w:t>
      </w:r>
      <w:hyperlink w:history="1" r:id="rIdg3xlhcsplpat5en4gswc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Единой системе идентификации Кыргызской Республики, утвержденным </w:t>
      </w:r>
      <w:hyperlink w:history="1" r:id="rIds2ktffed1__evnodjvc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 а также посредством платформ, предоставляющих электронные государственные и муниципальные услуги, с использованием которых можно предоставить согласие на обработку персональных данных.</w:t>
      </w:r>
    </w:p>
    <w:p>
      <w:pPr>
        <w:spacing w:after="60"/>
        <w:ind w:firstLine="567"/>
        <w:jc w:val="both"/>
      </w:pPr>
      <w:r>
        <w:rPr>
          <w:rFonts w:ascii="Arial" w:cs="Arial" w:eastAsia="Arial" w:hAnsi="Arial"/>
          <w:sz w:val="24"/>
          <w:szCs w:val="24"/>
        </w:rPr>
        <w:t xml:space="preserve">12. Мэрии городов (за исключением мэрий городов Бишкек и Ош), местные государственные администрации и банки-партнеры ГИК обобщают и направляют оригиналы письменного согласия гражданина и супруги/а на обработку персональных данных в аппараты полномочных представителей Кабинета Министров Кыргызской Республики в областях. Муниципальные администрации мэрии города Бишкек по административным районам обобщают и направляют оригиналы письменного согласия гражданина и супруги/а на обработку персональных данных в мэрию города Бишкек, а банки-партнеры ГИК - в головной офис банка. Полномочные представители Кабинета Министров Кыргызской Республики в областях, мэрии городов Бишкек и Ош и банки-партнеры ГИК направляют оригиналы письменного согласия гражданина и его супруги/а на обработку персональных данных в ГИК в срок до 30-го числа каждого месяца.</w:t>
      </w:r>
    </w:p>
    <w:p>
      <w:pPr>
        <w:spacing w:after="60"/>
        <w:ind w:firstLine="567"/>
        <w:jc w:val="both"/>
      </w:pPr>
      <w:r>
        <w:rPr>
          <w:rFonts w:ascii="Arial" w:cs="Arial" w:eastAsia="Arial" w:hAnsi="Arial"/>
          <w:sz w:val="24"/>
          <w:szCs w:val="24"/>
        </w:rPr>
        <w:t xml:space="preserve">13. После получения электронной заявки на участие в Программе и оригиналов/электронной формы согласия граждан на обработку персональных данных ГИК/ЖСКК посредством системы межведомственного электронного взаимодействия запрашивает от государственных органов необходимую информацию об участнике Программы, супруге и несовершеннолетних детях участника Программы для проверки на соответствие критериям отбора настоящего Порядка.</w:t>
      </w:r>
    </w:p>
    <w:p>
      <w:pPr>
        <w:spacing w:after="60"/>
        <w:ind w:firstLine="567"/>
        <w:jc w:val="both"/>
      </w:pPr>
      <w:r>
        <w:rPr>
          <w:rFonts w:ascii="Arial" w:cs="Arial" w:eastAsia="Arial" w:hAnsi="Arial"/>
          <w:sz w:val="24"/>
          <w:szCs w:val="24"/>
        </w:rPr>
        <w:t xml:space="preserve">14. По итогам проведенных со стороны ГИК/ЖСКК проверок на соответствие критериям отбора Программы формируется электронный список участников Программы в автоматизированной информационной системе ГИК.</w:t>
      </w:r>
    </w:p>
    <w:p>
      <w:pPr>
        <w:spacing w:after="60"/>
        <w:ind w:firstLine="567"/>
        <w:jc w:val="both"/>
      </w:pPr>
      <w:r>
        <w:rPr>
          <w:rFonts w:ascii="Arial" w:cs="Arial" w:eastAsia="Arial" w:hAnsi="Arial"/>
          <w:sz w:val="24"/>
          <w:szCs w:val="24"/>
        </w:rPr>
        <w:t xml:space="preserve">15. Электронные списки участников Программы в автоматизированной информационной системе ГИК рассматриваются исходя из механизма жилищного финансирования:</w:t>
      </w:r>
    </w:p>
    <w:p>
      <w:pPr>
        <w:spacing w:after="60"/>
        <w:ind w:firstLine="567"/>
        <w:jc w:val="both"/>
      </w:pPr>
      <w:r>
        <w:rPr>
          <w:rFonts w:ascii="Arial" w:cs="Arial" w:eastAsia="Arial" w:hAnsi="Arial"/>
          <w:sz w:val="24"/>
          <w:szCs w:val="24"/>
        </w:rPr>
        <w:t xml:space="preserve">- банки-партнеры рассматривают электронные списки участников Программы в автоматизированной информационной системе ГИК, принимают решение о выдаче ипотечного кредита либо отказе в выдаче ипотечного кредита после анализа платежеспособности участника;</w:t>
      </w:r>
    </w:p>
    <w:p>
      <w:pPr>
        <w:spacing w:after="60"/>
        <w:ind w:firstLine="567"/>
        <w:jc w:val="both"/>
      </w:pPr>
      <w:r>
        <w:rPr>
          <w:rFonts w:ascii="Arial" w:cs="Arial" w:eastAsia="Arial" w:hAnsi="Arial"/>
          <w:sz w:val="24"/>
          <w:szCs w:val="24"/>
        </w:rPr>
        <w:t xml:space="preserve">- ГИК рассматривает электронные списки участников Программы в автоматизированной информационной системе и принимает решение о предоставлении жилья аренду с последующим выкупом после анализа платежеспособности участника;</w:t>
      </w:r>
    </w:p>
    <w:p>
      <w:pPr>
        <w:spacing w:after="60"/>
        <w:ind w:firstLine="567"/>
        <w:jc w:val="both"/>
      </w:pPr>
      <w:r>
        <w:rPr>
          <w:rFonts w:ascii="Arial" w:cs="Arial" w:eastAsia="Arial" w:hAnsi="Arial"/>
          <w:sz w:val="24"/>
          <w:szCs w:val="24"/>
        </w:rPr>
        <w:t xml:space="preserve">- участник заключает с ЖСКК Генеральное соглашение.</w:t>
      </w:r>
    </w:p>
    <w:p>
      <w:pPr>
        <w:spacing w:after="60"/>
        <w:ind w:firstLine="567"/>
        <w:jc w:val="both"/>
      </w:pPr>
      <w:r>
        <w:rPr>
          <w:rFonts w:ascii="Arial" w:cs="Arial" w:eastAsia="Arial" w:hAnsi="Arial"/>
          <w:sz w:val="24"/>
          <w:szCs w:val="24"/>
        </w:rPr>
        <w:t xml:space="preserve">16. Срок действия электронной заявки участников, не обратившихся за жилищным финансированием, составляет 1 (один) год.</w:t>
      </w:r>
    </w:p>
    <w:p>
      <w:pPr>
        <w:spacing w:after="200" w:before="200"/>
        <w:jc w:val="center"/>
      </w:pPr>
      <w:r>
        <w:rPr>
          <w:rFonts w:ascii="Arial" w:cs="Arial" w:eastAsia="Arial" w:hAnsi="Arial"/>
          <w:b/>
          <w:bCs/>
          <w:sz w:val="32"/>
          <w:szCs w:val="32"/>
        </w:rPr>
        <w:t xml:space="preserve">Глава 4. Условия ипотечного кредитования через банки-партнеры ГИК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2488"/>
        <w:gridCol w:w="7450"/>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ипотечного кредита</w:t>
            </w:r>
          </w:p>
        </w:tc>
        <w:tc>
          <w:tcPr>
            <w:tcW w:type="dxa" w:w="7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и "Доступная ипотека", в том числе "Льготная ипотека"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если имеется земельный участок в населенном пункте по месту жительства с использованием механизма поэтапного финансирования.</w:t>
            </w:r>
          </w:p>
          <w:p>
            <w:pPr>
              <w:jc w:val="left"/>
            </w:pPr>
            <w:r>
              <w:rPr>
                <w:rFonts w:ascii="Arial" w:cs="Arial" w:eastAsia="Arial" w:hAnsi="Arial"/>
                <w:sz w:val="24"/>
                <w:szCs w:val="24"/>
              </w:rPr>
              <w:t xml:space="preserve">Проживание семьи участника Программы в приобретенном/построенном жилье является обязательным условием</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 в банке-партнере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 до 15 дней с момента принятия банком-партнером решения о выдаче участнику ипотечного кредита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"Доступная ипотека":</w:t>
            </w:r>
          </w:p>
          <w:p>
            <w:pPr>
              <w:jc w:val="left"/>
            </w:pPr>
            <w:r>
              <w:rPr>
                <w:rFonts w:ascii="Arial" w:cs="Arial" w:eastAsia="Arial" w:hAnsi="Arial"/>
                <w:sz w:val="24"/>
                <w:szCs w:val="24"/>
              </w:rPr>
              <w:t xml:space="preserve">- до 5000000 (пять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направлениям жилищного финансирования "Социальная ипотека" и "Льготная ипотека":</w:t>
            </w:r>
          </w:p>
          <w:p>
            <w:pPr>
              <w:jc w:val="left"/>
            </w:pPr>
            <w:r>
              <w:rPr>
                <w:rFonts w:ascii="Arial" w:cs="Arial" w:eastAsia="Arial" w:hAnsi="Arial"/>
                <w:sz w:val="24"/>
                <w:szCs w:val="24"/>
              </w:rPr>
              <w:t xml:space="preserve">- до 4000000 (четыре миллиона) сомов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соответствии с Законом Кыргызской Республики "О государственном ипотечном жилищном кредитовании"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 и платежеспособность участника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требованиям нормативных правовых актов Национального банка Кыргызской Республики и внутренних документов банка-партнера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 кроме комиссии за использование ипотечной гарантии гарантийных фондов в качестве первоначального взноса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w:t>
            </w:r>
            <w:hyperlink w:history="1" r:id="rIdro61olgen6d0xktqyph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 открытом акционерном обществе "Государственная страховая организация". При этом страховая сумма должна быть не менее размера (суммы) обеспеченного ипотекой требования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банка-партнера. Замена предмета (залога) ипотечного кредита допускается при условии повышения процентной ставки по ипотечному кредиту.</w:t>
            </w:r>
          </w:p>
          <w:p>
            <w:pPr>
              <w:jc w:val="left"/>
            </w:pPr>
            <w:r>
              <w:rPr>
                <w:rFonts w:ascii="Arial" w:cs="Arial" w:eastAsia="Arial" w:hAnsi="Arial"/>
                <w:sz w:val="24"/>
                <w:szCs w:val="24"/>
              </w:rPr>
              <w:t xml:space="preserve">Комиссия за реструктуризацию ипотечного кредита не взимается</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 и процентные ставки по ипотечному кредиту</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жилищному финансированию в рамках Программы устанавливается государственным органом исполнительной власти, ответственным за разработку и реализацию макроэкономической политики государства.</w:t>
            </w:r>
          </w:p>
          <w:p>
            <w:pPr>
              <w:jc w:val="left"/>
            </w:pPr>
            <w:r>
              <w:rPr>
                <w:rFonts w:ascii="Arial" w:cs="Arial" w:eastAsia="Arial" w:hAnsi="Arial"/>
                <w:sz w:val="24"/>
                <w:szCs w:val="24"/>
              </w:rPr>
              <w:t xml:space="preserve">Первоначальный взнос:</w:t>
            </w:r>
          </w:p>
          <w:p>
            <w:pPr>
              <w:jc w:val="left"/>
            </w:pPr>
            <w:r>
              <w:rPr>
                <w:rFonts w:ascii="Arial" w:cs="Arial" w:eastAsia="Arial" w:hAnsi="Arial"/>
                <w:sz w:val="24"/>
                <w:szCs w:val="24"/>
              </w:rPr>
              <w:t xml:space="preserve">- по направлению "Социальная ипотека" не менее 10% от стоимости жилья;</w:t>
            </w:r>
          </w:p>
          <w:p>
            <w:pPr>
              <w:jc w:val="left"/>
            </w:pPr>
            <w:r>
              <w:rPr>
                <w:rFonts w:ascii="Arial" w:cs="Arial" w:eastAsia="Arial" w:hAnsi="Arial"/>
                <w:sz w:val="24"/>
                <w:szCs w:val="24"/>
              </w:rPr>
              <w:t xml:space="preserve">- по направлению "Доступная ипотека" и "Льготная ипотека" не менее 20% от стоимости жилья.</w:t>
            </w:r>
          </w:p>
          <w:p>
            <w:pPr>
              <w:jc w:val="left"/>
            </w:pPr>
            <w:r>
              <w:rPr>
                <w:rFonts w:ascii="Arial" w:cs="Arial" w:eastAsia="Arial" w:hAnsi="Arial"/>
                <w:sz w:val="24"/>
                <w:szCs w:val="24"/>
              </w:rPr>
              <w:t xml:space="preserve">При отсутствии собственного вклада участника допускается предоставление дополнительного залога по усмотрению банка-партнера, а также применение финансовых инструментов гарантийных фондов</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w:t>
            </w:r>
          </w:p>
          <w:p>
            <w:pPr>
              <w:jc w:val="left"/>
            </w:pP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p>
          <w:p>
            <w:pPr>
              <w:jc w:val="left"/>
            </w:pPr>
            <w:r>
              <w:rPr>
                <w:rFonts w:ascii="Arial" w:cs="Arial" w:eastAsia="Arial" w:hAnsi="Arial"/>
                <w:sz w:val="24"/>
                <w:szCs w:val="24"/>
              </w:rPr>
              <w:t xml:space="preserve">Имущественное право на строящееся жилое помещение на условиях договора долевого строительства в период строительства и жилье после строительства.</w:t>
            </w:r>
          </w:p>
          <w:p>
            <w:pPr>
              <w:jc w:val="left"/>
            </w:pPr>
            <w:r>
              <w:rPr>
                <w:rFonts w:ascii="Arial" w:cs="Arial" w:eastAsia="Arial" w:hAnsi="Arial"/>
                <w:sz w:val="24"/>
                <w:szCs w:val="24"/>
              </w:rPr>
              <w:t xml:space="preserve">Ипотечная гарантия - при необходимости.</w:t>
            </w:r>
          </w:p>
          <w:p>
            <w:pPr>
              <w:jc w:val="left"/>
            </w:pPr>
            <w:r>
              <w:rPr>
                <w:rFonts w:ascii="Arial" w:cs="Arial" w:eastAsia="Arial" w:hAnsi="Arial"/>
                <w:sz w:val="24"/>
                <w:szCs w:val="24"/>
              </w:rPr>
              <w:t xml:space="preserve">Действует до момента погашения основной суммы ипотечного кредита, равной выданной ипотечной гарантии</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 ипотечного кредитования</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ипотечного кредита, а также состояния залогового обеспечения и выполнения банками-партнерами обязательств по Соглашению о сотрудничестве</w:t>
            </w:r>
          </w:p>
        </w:tc>
      </w:tr>
    </w:tbl>
    <w:p>
      <w:pPr>
        <w:spacing w:after="200" w:before="200"/>
        <w:jc w:val="center"/>
      </w:pPr>
      <w:r>
        <w:rPr>
          <w:rFonts w:ascii="Arial" w:cs="Arial" w:eastAsia="Arial" w:hAnsi="Arial"/>
          <w:b/>
          <w:bCs/>
          <w:sz w:val="32"/>
          <w:szCs w:val="32"/>
        </w:rPr>
        <w:t xml:space="preserve">Глава 5. Условия предоставления арендного жилья с последующим выкупом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3247"/>
        <w:gridCol w:w="6691"/>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6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"Доступная ипотека" и "Льготная ипотека"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жилья с последующим выкупом из жилищного фонда ГИК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Готовое или строящееся жилье из жилищного фонда ГИК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аренды - не менее 5 (пять) лет.</w:t>
            </w:r>
          </w:p>
          <w:p>
            <w:pPr>
              <w:jc w:val="left"/>
            </w:pPr>
            <w:r>
              <w:rPr>
                <w:rFonts w:ascii="Arial" w:cs="Arial" w:eastAsia="Arial" w:hAnsi="Arial"/>
                <w:sz w:val="24"/>
                <w:szCs w:val="24"/>
              </w:rPr>
              <w:t xml:space="preserve">Максимальный срок аренды - не более 25 (двадцать пять) лет (в зависимости от источников финансирования)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арендатору в течение 30 (тридцать) рабочих дней после выплаты последней суммы в соответствии с приложением к договору аренды (график погашения)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w:t>
            </w:r>
          </w:p>
          <w:p>
            <w:pPr>
              <w:jc w:val="left"/>
            </w:pPr>
            <w:r>
              <w:rPr>
                <w:rFonts w:ascii="Arial" w:cs="Arial" w:eastAsia="Arial" w:hAnsi="Arial"/>
                <w:sz w:val="24"/>
                <w:szCs w:val="24"/>
              </w:rPr>
              <w:t xml:space="preserve">(Методика расчета состоит из части стоимости квартиры, стоимости аренды, страхования объекта аренды, за исключением расходов за коммунальные услуги и содержание объекта аренды в надлежащем состоянии)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p>
          <w:p>
            <w:pPr>
              <w:jc w:val="left"/>
            </w:pP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2m4khvpuhzvjyk7qlnxr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Кредитная история участника, супруг (супруга) участника и поручителя/гаранта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отрицательной кредитной истории в течение 3 (три) лет до момента подачи заявки, а именно:</w:t>
            </w:r>
          </w:p>
          <w:p>
            <w:pPr>
              <w:jc w:val="left"/>
            </w:pPr>
            <w:r>
              <w:rPr>
                <w:rFonts w:ascii="Arial" w:cs="Arial" w:eastAsia="Arial" w:hAnsi="Arial"/>
                <w:sz w:val="24"/>
                <w:szCs w:val="24"/>
              </w:rPr>
              <w:t xml:space="preserve">- отсутствие текущих просроченных обязательств;</w:t>
            </w:r>
          </w:p>
          <w:p>
            <w:pPr>
              <w:jc w:val="left"/>
            </w:pPr>
            <w:r>
              <w:rPr>
                <w:rFonts w:ascii="Arial" w:cs="Arial" w:eastAsia="Arial" w:hAnsi="Arial"/>
                <w:sz w:val="24"/>
                <w:szCs w:val="24"/>
              </w:rPr>
              <w:t xml:space="preserve">- отсутствие случаев вынесения судами решений о взыскании сумм задолженности, а также наложения ареста на имущество в пользу кредиторов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Программе в рамках механизма "Арендное жилье с последующим выкупом"</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совместно с супругом (супругой) обеспечиваются жильем в рамках механизма "Арендное жилье с последующим выкупом" не более одного раза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участник Программы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200" w:before="200"/>
        <w:jc w:val="center"/>
      </w:pPr>
      <w:r>
        <w:rPr>
          <w:rFonts w:ascii="Arial" w:cs="Arial" w:eastAsia="Arial" w:hAnsi="Arial"/>
          <w:b/>
          <w:bCs/>
          <w:sz w:val="32"/>
          <w:szCs w:val="32"/>
        </w:rPr>
        <w:t xml:space="preserve">Глава 6. Условия финансирования ипотечного кредита ГИК-ЖСКК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2453"/>
        <w:gridCol w:w="7484"/>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ипотечного кредита</w:t>
            </w:r>
          </w:p>
        </w:tc>
        <w:tc>
          <w:tcPr>
            <w:tcW w:type="dxa" w:w="7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"Льготная ипотека" и "Доступная ипотека", заключившие генеральное соглашение с ЖСКК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если имеется земельный участок в населенном пункте по месту жительства, с использованием механизма поэтапного финансирования.</w:t>
            </w:r>
          </w:p>
          <w:p>
            <w:pPr>
              <w:jc w:val="left"/>
            </w:pPr>
            <w:r>
              <w:rPr>
                <w:rFonts w:ascii="Arial" w:cs="Arial" w:eastAsia="Arial" w:hAnsi="Arial"/>
                <w:sz w:val="24"/>
                <w:szCs w:val="24"/>
              </w:rPr>
              <w:t xml:space="preserve">Проживание семьи участника Программы в приобретенном и построенном жилье является обязательным условием</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оценочным показателем и/или периодом ожидания с момента накопления не менее 30% от суммы договора жилищно-сберегательного вклада (депозита)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"Доступная ипотека":</w:t>
            </w:r>
          </w:p>
          <w:p>
            <w:pPr>
              <w:jc w:val="left"/>
            </w:pPr>
            <w:r>
              <w:rPr>
                <w:rFonts w:ascii="Arial" w:cs="Arial" w:eastAsia="Arial" w:hAnsi="Arial"/>
                <w:sz w:val="24"/>
                <w:szCs w:val="24"/>
              </w:rPr>
              <w:t xml:space="preserve">- до 5000000 (пять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"Льготная ипотека":</w:t>
            </w:r>
          </w:p>
          <w:p>
            <w:pPr>
              <w:jc w:val="left"/>
            </w:pPr>
            <w:r>
              <w:rPr>
                <w:rFonts w:ascii="Arial" w:cs="Arial" w:eastAsia="Arial" w:hAnsi="Arial"/>
                <w:sz w:val="24"/>
                <w:szCs w:val="24"/>
              </w:rPr>
              <w:t xml:space="preserve">- до 4000000 (четыре миллиона) сомов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(двадцать пять) лет, в зависимости от срока накопления вклада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 и платежеспособность участника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согласно требованиям нормативных правовых актов Национального банка Кыргызской Республики, внутренних документов ЖСКК и оценочного показателя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w:t>
            </w:r>
            <w:hyperlink w:history="1" r:id="rIdoe1z6qtthxigt6ddtkvu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 ОАО "Государственная страховая организация", при этом страховая сумма должна быть не менее размера (суммы) обеспеченного ипотекой требования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ЖСКК. Замена предмета (залога) ипотечного кредита допускается при условии повышения процентной ставки по ипотечному кредиту.</w:t>
            </w:r>
          </w:p>
          <w:p>
            <w:pPr>
              <w:jc w:val="left"/>
            </w:pPr>
            <w:r>
              <w:rPr>
                <w:rFonts w:ascii="Arial" w:cs="Arial" w:eastAsia="Arial" w:hAnsi="Arial"/>
                <w:sz w:val="24"/>
                <w:szCs w:val="24"/>
              </w:rPr>
              <w:t xml:space="preserve">Комиссия за реструктуризацию ипотечного кредита не взимается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и жилищно-сберегательный вклад (депозит)</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жилищному финансированию в рамках Программы устанавливается государственным органом исполнительной власти, ответственным за разработку и реализацию макроэкономической политики государства.</w:t>
            </w:r>
          </w:p>
          <w:p>
            <w:pPr>
              <w:jc w:val="left"/>
            </w:pPr>
            <w:r>
              <w:rPr>
                <w:rFonts w:ascii="Arial" w:cs="Arial" w:eastAsia="Arial" w:hAnsi="Arial"/>
                <w:sz w:val="24"/>
                <w:szCs w:val="24"/>
              </w:rPr>
              <w:t xml:space="preserve">Жилищно-сберегательный вклад должен быть не менее 30% от договорной суммы генерального соглашения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 и другое имущество согласно залоговой политики ЖСКК.</w:t>
            </w:r>
          </w:p>
          <w:p>
            <w:pPr>
              <w:jc w:val="left"/>
            </w:pP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 ипотечного кредитования</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ЖСКК проводит мониторинг целевого использования ипотечного кредита, платежный мониторинг, а также мониторинг состояния залогового обеспечения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отбора участников жилищной программы Кыргызской Республики "Мой дом 2021-2026"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СОГЛАСИЕ
 субъекта персональных данных на сбор, обработку и передачу его персональных данных</w:t>
      </w:r>
    </w:p>
    <w:p>
      <w:pPr>
        <w:spacing w:after="60"/>
        <w:ind w:firstLine="567"/>
        <w:jc w:val="both"/>
      </w:pP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ПИН, присвоенный в Кыргызской Республике: 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серия _________________ № ______________________,</w:t>
      </w:r>
    </w:p>
    <w:p>
      <w:pPr>
        <w:spacing w:after="60"/>
        <w:ind w:firstLine="567"/>
        <w:jc w:val="both"/>
      </w:pPr>
      <w:r>
        <w:rPr>
          <w:rFonts w:ascii="Arial" w:cs="Arial" w:eastAsia="Arial" w:hAnsi="Arial"/>
          <w:sz w:val="24"/>
          <w:szCs w:val="24"/>
        </w:rPr>
        <w:t xml:space="preserve">выданный: __________________________________________________________________________________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наименование органа выдачи)</w:t>
      </w:r>
    </w:p>
    <w:p>
      <w:pPr>
        <w:spacing w:after="60"/>
        <w:ind w:firstLine="567"/>
        <w:jc w:val="both"/>
      </w:pPr>
      <w:r>
        <w:rPr>
          <w:rFonts w:ascii="Arial" w:cs="Arial" w:eastAsia="Arial" w:hAnsi="Arial"/>
          <w:sz w:val="24"/>
          <w:szCs w:val="24"/>
        </w:rPr>
        <w:t xml:space="preserve">Адрес фактического проживания: ________________________________________________________________</w:t>
      </w:r>
    </w:p>
    <w:p>
      <w:pPr>
        <w:spacing w:after="60"/>
        <w:ind w:firstLine="567"/>
        <w:jc w:val="both"/>
      </w:pPr>
      <w:r>
        <w:rPr>
          <w:rFonts w:ascii="Arial" w:cs="Arial" w:eastAsia="Arial" w:hAnsi="Arial"/>
          <w:sz w:val="24"/>
          <w:szCs w:val="24"/>
        </w:rPr>
        <w:t xml:space="preserve">Адрес места прописки: _________________________________________________________________________</w:t>
      </w:r>
    </w:p>
    <w:p>
      <w:pPr>
        <w:spacing w:after="60"/>
        <w:ind w:firstLine="567"/>
        <w:jc w:val="both"/>
      </w:pPr>
      <w:r>
        <w:rPr>
          <w:rFonts w:ascii="Arial" w:cs="Arial" w:eastAsia="Arial" w:hAnsi="Arial"/>
          <w:sz w:val="24"/>
          <w:szCs w:val="24"/>
        </w:rPr>
        <w:t xml:space="preserve">Контактный телефон: __________________________________________________________________________</w:t>
      </w:r>
    </w:p>
    <w:p>
      <w:pPr>
        <w:spacing w:after="60"/>
        <w:ind w:firstLine="567"/>
        <w:jc w:val="both"/>
      </w:pPr>
      <w:r>
        <w:rPr>
          <w:rFonts w:ascii="Arial" w:cs="Arial" w:eastAsia="Arial" w:hAnsi="Arial"/>
          <w:sz w:val="24"/>
          <w:szCs w:val="24"/>
        </w:rPr>
        <w:t xml:space="preserve">Электронная почта: ___________________________________________________________________________</w:t>
      </w:r>
    </w:p>
    <w:p>
      <w:pPr>
        <w:spacing w:after="60"/>
        <w:ind w:firstLine="567"/>
        <w:jc w:val="both"/>
      </w:pPr>
      <w:r>
        <w:rPr>
          <w:rFonts w:ascii="Arial" w:cs="Arial" w:eastAsia="Arial" w:hAnsi="Arial"/>
          <w:sz w:val="24"/>
          <w:szCs w:val="24"/>
        </w:rPr>
        <w:t xml:space="preserve">Свободно, осознанно, по своей воле даю согласие открытому акционерному обществу "Государственная Ипотечная Компания", находящемуся по адресу: Кыргызская Республика, г.Бишкек, ул.Токтогула, № 228, на следующие виды операций:</w:t>
      </w:r>
    </w:p>
    <w:p>
      <w:pPr>
        <w:spacing w:after="60"/>
        <w:ind w:firstLine="567"/>
        <w:jc w:val="both"/>
      </w:pPr>
      <w:r>
        <w:rPr>
          <w:rFonts w:ascii="Arial" w:cs="Arial" w:eastAsia="Arial" w:hAnsi="Arial"/>
          <w:sz w:val="24"/>
          <w:szCs w:val="24"/>
        </w:rPr>
        <w:t xml:space="preserve">- запрос информации о моих персональных данных и персональных данных моих несовершеннолетних членов семьи от Государственной регистрационной службы при Министерстве юстиции Кыргызской Республики, Социального фонда Кыргызской Республики при Кабинете Министров Кыргызской Республики, Государственной налоговой службы при Министерстве финансов Кыргызской Республики, кредитных бюро;</w:t>
      </w:r>
    </w:p>
    <w:p>
      <w:pPr>
        <w:spacing w:after="60"/>
        <w:ind w:firstLine="567"/>
        <w:jc w:val="both"/>
      </w:pPr>
      <w:r>
        <w:rPr>
          <w:rFonts w:ascii="Arial" w:cs="Arial" w:eastAsia="Arial" w:hAnsi="Arial"/>
          <w:sz w:val="24"/>
          <w:szCs w:val="24"/>
        </w:rPr>
        <w:t xml:space="preserve">- обработка персональных данных и персональных данных моих несовершеннолетних членов семьи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60"/>
        <w:ind w:firstLine="567"/>
        <w:jc w:val="both"/>
      </w:pPr>
      <w:r>
        <w:rPr>
          <w:rFonts w:ascii="Arial" w:cs="Arial" w:eastAsia="Arial" w:hAnsi="Arial"/>
          <w:sz w:val="24"/>
          <w:szCs w:val="24"/>
        </w:rPr>
        <w:t xml:space="preserve">- передача персональных данных (предоставление держателем (обладателем) третьим лицам в соответствии с </w:t>
      </w:r>
      <w:hyperlink w:history="1" r:id="rId8w6kbcddqtqzvfx7kxk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 трансграничная передача персональных данных (передача держателем (обладателем) персональных данных держателям, находящимся под юрисдикцией других государств).</w:t>
      </w:r>
    </w:p>
    <w:p>
      <w:pPr>
        <w:spacing w:after="60"/>
        <w:ind w:firstLine="567"/>
        <w:jc w:val="both"/>
      </w:pPr>
      <w:r>
        <w:rPr>
          <w:rFonts w:ascii="Arial" w:cs="Arial" w:eastAsia="Arial" w:hAnsi="Arial"/>
          <w:sz w:val="24"/>
          <w:szCs w:val="24"/>
        </w:rPr>
        <w:t xml:space="preserve">Несовершеннолетние члены моей семьи (ФИО):</w:t>
      </w:r>
    </w:p>
    <w:p>
      <w:pPr>
        <w:spacing w:after="60"/>
        <w:ind w:firstLine="567"/>
        <w:jc w:val="both"/>
      </w:pPr>
      <w:r>
        <w:rPr>
          <w:rFonts w:ascii="Arial" w:cs="Arial" w:eastAsia="Arial" w:hAnsi="Arial"/>
          <w:sz w:val="24"/>
          <w:szCs w:val="24"/>
        </w:rPr>
        <w:t xml:space="preserve">1. ___________________________________________________________________________________________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___________________________________________________________________________________________</w:t>
      </w:r>
    </w:p>
    <w:p>
      <w:pPr>
        <w:spacing w:after="60"/>
        <w:ind w:firstLine="567"/>
        <w:jc w:val="both"/>
      </w:pPr>
      <w:r>
        <w:rPr>
          <w:rFonts w:ascii="Arial" w:cs="Arial" w:eastAsia="Arial" w:hAnsi="Arial"/>
          <w:sz w:val="24"/>
          <w:szCs w:val="24"/>
        </w:rPr>
        <w:t xml:space="preserve">Вышеуказанные персональные данные предоставляю в целях обработки на участие в жилищной программе.</w:t>
      </w:r>
    </w:p>
    <w:p>
      <w:pPr>
        <w:spacing w:after="60"/>
        <w:ind w:firstLine="567"/>
        <w:jc w:val="both"/>
      </w:pPr>
      <w:r>
        <w:rPr>
          <w:rFonts w:ascii="Arial" w:cs="Arial" w:eastAsia="Arial" w:hAnsi="Arial"/>
          <w:sz w:val="24"/>
          <w:szCs w:val="24"/>
        </w:rPr>
        <w:t xml:space="preserve">Обязуюсь оплатить расходы по запросам через автоматизированную электронную систему по проведению идентификации личности и проверки данных о недвижимом имуществе и, в случае отказа системы в регистрации, возместить расходы по оплате проведенных запросов.</w:t>
      </w:r>
    </w:p>
    <w:p>
      <w:pPr>
        <w:spacing w:after="60"/>
        <w:ind w:firstLine="567"/>
        <w:jc w:val="both"/>
      </w:pPr>
      <w:r>
        <w:rPr>
          <w:rFonts w:ascii="Arial" w:cs="Arial" w:eastAsia="Arial" w:hAnsi="Arial"/>
          <w:sz w:val="24"/>
          <w:szCs w:val="24"/>
        </w:rPr>
        <w:t xml:space="preserve">Также я подтверждаю, что:</w:t>
      </w:r>
    </w:p>
    <w:p>
      <w:pPr>
        <w:spacing w:after="60"/>
        <w:ind w:firstLine="567"/>
        <w:jc w:val="both"/>
      </w:pPr>
      <w:r>
        <w:rPr>
          <w:rFonts w:ascii="Arial" w:cs="Arial" w:eastAsia="Arial" w:hAnsi="Arial"/>
          <w:sz w:val="24"/>
          <w:szCs w:val="24"/>
        </w:rPr>
        <w:t xml:space="preserve">1) ознакомлен(а) с положениями </w:t>
      </w:r>
      <w:hyperlink w:history="1" r:id="rIdzpx8f8gqhxvza_6z1kv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w:t>
      </w:r>
      <w:hyperlink w:history="1" r:id="rIdtdm8zj4qerhhxo_usvzvg">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 утвержденным </w:t>
      </w:r>
      <w:hyperlink w:history="1" r:id="rIdsbxk4ewloifjlnvhpib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759;</w:t>
      </w:r>
    </w:p>
    <w:p>
      <w:pPr>
        <w:spacing w:after="60"/>
        <w:ind w:firstLine="567"/>
        <w:jc w:val="both"/>
      </w:pPr>
      <w:r>
        <w:rPr>
          <w:rFonts w:ascii="Arial" w:cs="Arial" w:eastAsia="Arial" w:hAnsi="Arial"/>
          <w:sz w:val="24"/>
          <w:szCs w:val="24"/>
        </w:rPr>
        <w:t xml:space="preserve">2) ознакомлен(а), что согласие на обработку персональных данных действует с даты подписания настоящего согласия в течение всего срока рассмотрения моего заявления/обращения на участие в жилищной программе;</w:t>
      </w:r>
    </w:p>
    <w:p>
      <w:pPr>
        <w:spacing w:after="60"/>
        <w:ind w:firstLine="567"/>
        <w:jc w:val="both"/>
      </w:pPr>
      <w:r>
        <w:rPr>
          <w:rFonts w:ascii="Arial" w:cs="Arial" w:eastAsia="Arial" w:hAnsi="Arial"/>
          <w:sz w:val="24"/>
          <w:szCs w:val="24"/>
        </w:rPr>
        <w:t xml:space="preserve">3) ознакомлен(а), что согласие на обработку персональных данных может быть отозвано на основании письменного заявления в произвольной форме;</w:t>
      </w:r>
    </w:p>
    <w:p>
      <w:pPr>
        <w:spacing w:after="60"/>
        <w:ind w:firstLine="567"/>
        <w:jc w:val="both"/>
      </w:pPr>
      <w:r>
        <w:rPr>
          <w:rFonts w:ascii="Arial" w:cs="Arial" w:eastAsia="Arial" w:hAnsi="Arial"/>
          <w:sz w:val="24"/>
          <w:szCs w:val="24"/>
        </w:rPr>
        <w:t xml:space="preserve">4) ознакомлен(а), что в случае отзыва согласия обработка моих персональных данных полностью или частично может быть продолжена в соответствии со статьями </w:t>
      </w:r>
      <w:hyperlink w:history="1" r:id="rId3ume_vaep48wqjsyv4xuh">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q94b-omt_wkregpfr7prv">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представленные документы и указанные сведения подлинны, ознакомлен(а) с критериями отбора участников жилищной программы кредитования, а также с условиями ипотечного кредитования и требованиями к жилью;</w:t>
      </w:r>
    </w:p>
    <w:p>
      <w:pPr>
        <w:spacing w:after="60"/>
        <w:ind w:firstLine="567"/>
        <w:jc w:val="both"/>
      </w:pPr>
      <w:r>
        <w:rPr>
          <w:rFonts w:ascii="Arial" w:cs="Arial" w:eastAsia="Arial" w:hAnsi="Arial"/>
          <w:sz w:val="24"/>
          <w:szCs w:val="24"/>
        </w:rPr>
        <w:t xml:space="preserve">6) отсутствует возможность предоставления согласия на поиск персональных данных через мобильные приложения, по следующей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Права и обязанности в области защиты персональных данных мне разъяснены.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 __________________ 20___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left"/>
      </w:pPr>
      <w:r>
        <w:rPr>
          <w:rFonts w:ascii="Arial" w:cs="Arial" w:eastAsia="Arial" w:hAnsi="Arial"/>
          <w:sz w:val="24"/>
          <w:szCs w:val="24"/>
        </w:rPr>
        <w:t xml:space="preserve">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Подтверждаю подлинность представленных документов, правильность заполнения проверил(а):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
          (ФИО уполномоченного лица)".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2godxlp6en6rceywmyy">
      <w:r>
        <w:rPr>
          <w:rFonts w:ascii="Arial" w:cs="Arial" w:eastAsia="Arial" w:hAnsi="Arial"/>
          <w:color w:val="132D3F"/>
          <w:sz w:val="16"/>
          <w:szCs w:val="16"/>
          <w:u w:val="single"/>
        </w:rPr>
        <w:t xml:space="preserve">dalil.kg/document/160007</w:t>
      </w:r>
    </w:hyperlink>
  </w:p>
  <w:p>
    <w:pPr>
      <w:spacing w:after="0" w:before="40"/>
      <w:jc w:val="center"/>
    </w:pPr>
    <w:hyperlink w:history="1" r:id="rIdlrltvig_3jneajdqejd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vmvk03vj8xau6oipcm2" Type="http://schemas.openxmlformats.org/officeDocument/2006/relationships/hyperlink" Target="https://dalil.kg/document/230023552" TargetMode="External"/><Relationship Id="rId7bi7lovwn-5bfybhkhj5v" Type="http://schemas.openxmlformats.org/officeDocument/2006/relationships/hyperlink" Target="https://dalil.kg/document/111580#st_9" TargetMode="External"/><Relationship Id="rIdunfjtgy7srar6drtr1ng_" Type="http://schemas.openxmlformats.org/officeDocument/2006/relationships/hyperlink" Target="https://dalil.kg/document/112301#st_13" TargetMode="External"/><Relationship Id="rIddo9vhefxs5of8pv2zxs-i" Type="http://schemas.openxmlformats.org/officeDocument/2006/relationships/hyperlink" Target="https://dalil.kg/document/112301#st_17" TargetMode="External"/><Relationship Id="rIdi4yjdmizfne5gdd6iqhrw" Type="http://schemas.openxmlformats.org/officeDocument/2006/relationships/hyperlink" Target="https://dalil.kg/document/158356" TargetMode="External"/><Relationship Id="rIdxcsbmluqnoztciumibpti" Type="http://schemas.openxmlformats.org/officeDocument/2006/relationships/hyperlink" Target="https://dalil.kg/document/158357" TargetMode="External"/><Relationship Id="rIdafzf12yy9lnlpnlhbfud5" Type="http://schemas.openxmlformats.org/officeDocument/2006/relationships/hyperlink" Target="https://dalil.kg/document/158356" TargetMode="External"/><Relationship Id="rIdfral4sjistbaqx-aqeuo_" Type="http://schemas.openxmlformats.org/officeDocument/2006/relationships/hyperlink" Target="https://dalil.kg/document/158358" TargetMode="External"/><Relationship Id="rId0mtktxr0yw4l2j3hbln4g" Type="http://schemas.openxmlformats.org/officeDocument/2006/relationships/hyperlink" Target="https://dalil.kg/document/160007#pr" TargetMode="External"/><Relationship Id="rIdtozkrhnviz5gargaqmej9" Type="http://schemas.openxmlformats.org/officeDocument/2006/relationships/hyperlink" Target="https://dalil.kg/document/159098#p2" TargetMode="External"/><Relationship Id="rIds-yqw2isb8csbmugo8l7q" Type="http://schemas.openxmlformats.org/officeDocument/2006/relationships/hyperlink" Target="https://dalil.kg/document/158358#pr3" TargetMode="External"/><Relationship Id="rIdv-uypjuewtdolvssjse33" Type="http://schemas.openxmlformats.org/officeDocument/2006/relationships/hyperlink" Target="https://dalil.kg/document/218236" TargetMode="External"/><Relationship Id="rIdtii0qir6nd1qidcs6lixn" Type="http://schemas.openxmlformats.org/officeDocument/2006/relationships/hyperlink" Target="https://dalil.kg/document/158358" TargetMode="External"/><Relationship Id="rIdoqgzos2nfnoldpvu_o8ze" Type="http://schemas.openxmlformats.org/officeDocument/2006/relationships/hyperlink" Target="https://dalil.kg/document/158356" TargetMode="External"/><Relationship Id="rIdeq1zoz8wfvj4bgendn0mt" Type="http://schemas.openxmlformats.org/officeDocument/2006/relationships/hyperlink" Target="https://dalil.kg/document/159098" TargetMode="External"/><Relationship Id="rIdg3xlhcsplpat5en4gswc3" Type="http://schemas.openxmlformats.org/officeDocument/2006/relationships/hyperlink" Target="https://dalil.kg/document/157373" TargetMode="External"/><Relationship Id="rIds2ktffed1__evnodjvcg7" Type="http://schemas.openxmlformats.org/officeDocument/2006/relationships/hyperlink" Target="https://dalil.kg/document/157372" TargetMode="External"/><Relationship Id="rIdro61olgen6d0xktqyphae" Type="http://schemas.openxmlformats.org/officeDocument/2006/relationships/hyperlink" Target="https://dalil.kg/document/111253" TargetMode="External"/><Relationship Id="rId2m4khvpuhzvjyk7qlnxrh" Type="http://schemas.openxmlformats.org/officeDocument/2006/relationships/hyperlink" Target="https://dalil.kg/document/111253" TargetMode="External"/><Relationship Id="rIdoe1z6qtthxigt6ddtkvuf" Type="http://schemas.openxmlformats.org/officeDocument/2006/relationships/hyperlink" Target="https://dalil.kg/document/111253" TargetMode="External"/><Relationship Id="rId8w6kbcddqtqzvfx7kxkj9" Type="http://schemas.openxmlformats.org/officeDocument/2006/relationships/hyperlink" Target="https://dalil.kg/document/202269" TargetMode="External"/><Relationship Id="rIdzpx8f8gqhxvza_6z1kvbp" Type="http://schemas.openxmlformats.org/officeDocument/2006/relationships/hyperlink" Target="https://dalil.kg/document/202269" TargetMode="External"/><Relationship Id="rIdtdm8zj4qerhhxo_usvzvg" Type="http://schemas.openxmlformats.org/officeDocument/2006/relationships/hyperlink" Target="https://dalil.kg/document/12001" TargetMode="External"/><Relationship Id="rIdsbxk4ewloifjlnvhpibmv" Type="http://schemas.openxmlformats.org/officeDocument/2006/relationships/hyperlink" Target="https://dalil.kg/document/12001" TargetMode="External"/><Relationship Id="rId3ume_vaep48wqjsyv4xuh" Type="http://schemas.openxmlformats.org/officeDocument/2006/relationships/hyperlink" Target="https://dalil.kg/document/202269#st_5" TargetMode="External"/><Relationship Id="rIdq94b-omt_wkregpfr7prv" Type="http://schemas.openxmlformats.org/officeDocument/2006/relationships/hyperlink" Target="https://dalil.kg/document/202269#st_15"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2godxlp6en6rceywmyy" Type="http://schemas.openxmlformats.org/officeDocument/2006/relationships/hyperlink" Target="https://dalil.kg/document/160007" TargetMode="External"/><Relationship Id="rIdlrltvig_3jneajdqejd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2026-09-25T00:09:10.512Z</dcterms:created>
  <dcterms:modified xsi:type="dcterms:W3CDTF">2026-09-25T00:09:10.512Z</dcterms:modified>
</cp:coreProperties>
</file>

<file path=docProps/custom.xml><?xml version="1.0" encoding="utf-8"?>
<Properties xmlns="http://schemas.openxmlformats.org/officeDocument/2006/custom-properties" xmlns:vt="http://schemas.openxmlformats.org/officeDocument/2006/docPropsVTypes"/>
</file>