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q7a6hrutwl7g6-plw-q9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28 марта 2023 года № 169)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проведении эксперимента по совершению таможенных операций с применением таможенной процедуры таможенного склада в отношении товаров, ввозимых в Кыргызскую Республику в целях последующего приобретения физическими лицами в рамках трансграничной (внешней) электронной торговли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проведения эксперимента по совершению таможенных операций с назначенным оператором почтовой связи (хозяйственное общество с государственной долей участия) с применением таможенной процедуры таможенного склада в отношении товаров, ввозимых в Кыргызскую Республику в целях последующего приобретения физическими лицами в рамках трансграничной (внешней) электронной торговли и пересылаемых в международных почтовых отправлениях, за исключением: 1) подакцизных товаров; 2) товаров, в отношении которых применяются льготы по уплате таможенных пошлин, налогов, тарифные квоты, тарифные преференции; 3) товаров, в отношении которых установлены специальные защитные, антидемпинговые, компенсационные меры и (или) иные меры защиты внутреннего рынка (далее - товары, эксперимент), место его проведения, согласно распоряжению Совета Евразийской экономической комиссии "Об отдельных вопросах проведения в государствах-членах Евразийского экономического союза пилотного проекта (эксперимента) в области внешней электронной торговли товарами" от 5 апреля 2021 года №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Эксперимент проводится с целью апробации совершения таможенных операций оператором электронной торговли с применением таможенной процедуры таможенного склада в отношении товаров, участвующих в эксперименте в целях их выдачи с такого склада, после приобретения физическим лицом, с использованием информационно-телекоммуникационной сети "Интернет", и помещении под таможенную процедуру: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выпуска для внутреннего потребления на основании заявления о выпуске товаров до подачи декларации на товары с последующей подачей декларации на товары по форме, установленной решением Комиссии Таможенного союза "О форме декларации на товары и порядке ее заполнения" от 20 мая 2010 года № 257, для доставки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реэкспорта, с подачей декларации на товары по форме, установленной решением Комиссии Таможенного союза "О форме декларации на товары и порядке ее заполнения" от 20 мая 2010 года № 257, для доставки за пределы таможенной территории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таможенного транзита, по форме, установленной решением Комиссии Таможенного союза "О форме и порядке заполнения транзитной декларации" от 18 июня 2010 года № 289, для доставки на территорию другого государства-члена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Эксперимент проводится на таможенных складах, расположенных в местах международного почтового обмена назначенного оператора почтовой связи (хозяйственное общество с государственной долей участия).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Таможенные склады, на которых проводится эксперимент, должны соответствовать требованиям к их обустройству и оборудованию, установленным статьей 222 Закона Кыргызской Республики "О таможенном регулировании", быть оборудованы досмотровой рентгеновской техникой, достаточной для проведения осмотра всех товаров, помещаемых под таможенную процедуру таможенного склада.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Операторы электронной торговли ежеквартально, до 5-го числа месяца, следующего за отчетным кварталом, предоставляют в уполномоченный государственный орган в сфере таможенного дела отчет о количестве товаров электронной торговли, помещенных под таможенную процедуру таможенного склада и выпущенных в соответствии с таможенной процедурой выпуска для внутреннего потребления в рамках эксперимента.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таможенного дела направляет в уполномоченный государственный орган в сфере экономики и коммерции отчеты о ходе проведения эксперимента ежеквартально, до 15-го числа месяца, следующего за отчетным кварталом.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Отчеты должны содержать информацию о количестве выпущенных в соответствии с таможенной процедурой выпуска для внутреннего потребления товаров, участвующих в эксперименте, их весе и таможенной стоимости от общего количества товаров, участвующих в эксперименте и помещенных под таможенную процедуру таможенного склада.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Эксперимент проводится до вступления в силу соответствующих международных договоров и актов, составляющих право Евразийского экономического союза.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Особенности применения таможенных процедур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Помещение товаров, участвующих в эксперименте, под таможенную процедуру таможенного склада осуществляется оператором с применением декларации на товары, заполненной в соответствии с решением Комиссии Таможенного союза "О форме декларации на товары и порядке ее заполнения" от 20 мая 2010 года № 257.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Оператором в уполномоченный государственный орган в сфере таможенного дела представляется информация об уникальных номерах международных почтовых отправлений (уникальный 13-значный буквенно-цифровой идентификатор письменной корреспонденции и посылок, соответствующий стандарту S10 Сборника технических стандартов Всемирного почтового союза, который наносится на каждое международное почтовое отправление), в которых товары, участвующие в эксперименте, будут ввозиться в Кыргызскую Республику и вывозиться из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пересылке в международных почтовых отправлениях товаров, участвующих в эксперименте, в сопровождающих международные почтовые отправления декларациях CN 23, предусмотренных актами Всемирного почтового союза, получателем товаров при вывозе с таможенного склада указывается физическое лицо.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отношении товаров, находящихся на таможенных складах, действие таможенной процедуры таможенного склада завершается до истечения срока действия этой таможенной процедуры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157 </w:t>
      </w:r>
      <w:r>
        <w:rPr>
          <w:rFonts w:ascii="Arial" w:cs="Arial" w:eastAsia="Arial" w:hAnsi="Arial"/>
          <w:sz w:val="24"/>
          <w:szCs w:val="24"/>
        </w:rPr>
        <w:t xml:space="preserve">Таможенного кодекса Евразийского экономического союза (далее - Кодекс Союза):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помещением товаров, участвующих в эксперименте, под таможенную процедуру выпуска для внутреннего потребления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20 </w:t>
      </w:r>
      <w:r>
        <w:rPr>
          <w:rFonts w:ascii="Arial" w:cs="Arial" w:eastAsia="Arial" w:hAnsi="Arial"/>
          <w:sz w:val="24"/>
          <w:szCs w:val="24"/>
        </w:rPr>
        <w:t xml:space="preserve">Кодекса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помещением товаров, участвующих в эксперименте, под таможенную процедуру реэкспорта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32</w:t>
      </w:r>
      <w:r>
        <w:rPr>
          <w:rFonts w:ascii="Arial" w:cs="Arial" w:eastAsia="Arial" w:hAnsi="Arial"/>
          <w:sz w:val="24"/>
          <w:szCs w:val="24"/>
        </w:rPr>
        <w:t xml:space="preserve"> Кодекса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помещением товаров, участвующих в эксперименте, под таможенную процедуру транзита в соответствии с подпунктом 5 части 1 </w:t>
      </w:r>
      <w:r>
        <w:rPr>
          <w:rFonts w:ascii="Arial" w:cs="Arial" w:eastAsia="Arial" w:hAnsi="Arial"/>
          <w:sz w:val="24"/>
          <w:szCs w:val="24"/>
        </w:rPr>
        <w:t xml:space="preserve">статьи 161</w:t>
      </w:r>
      <w:r>
        <w:rPr>
          <w:rFonts w:ascii="Arial" w:cs="Arial" w:eastAsia="Arial" w:hAnsi="Arial"/>
          <w:sz w:val="24"/>
          <w:szCs w:val="24"/>
        </w:rPr>
        <w:t xml:space="preserve"> Кодекса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признанием таможенным органом, в регионе деятельности которого функционирует таможенный склад, на котором проводится эксперимент, факта уничтожения и (или) безвозвратной утраты товаров, участвующих в эксперименте, вследствие аварии или действия непреодолимой силы либо факта их безвозвратной утраты в результате естественной убыли при нормальных условиях перевозки (транспортировки) и (или)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После получения информации от иностранной интернет-площадки о совершении физическим лицом, постоянно или временно проживающим на территории Кыргызской Республики, сделки купли-продажи товаров, участвующих в эксперименте и помещенных под таможенную процедуру таможенного склада, оператором совершаются таможенные операции, связанные с выпуском товаров до подачи декларации на товары в соответствии с таможенной процедурой выпуска для внутреннего потребления, согласно решению Совета Евразийской экономической комиссии "О категории товаров, которые могут быть заявлены к выпуску до подачи декларации на товары" от 14 сентября 2021 года № 81, с применением заявления в объеме сведений, указанных в Решении Коллегии Евразийской экономической комиссии "О заявлении о выпуске товаров до подачи декларации на товары" от 13 декабря 2017 года № 171, с учетом особенностей его заполнения, установленных решением Коллегии Евразийской экономической комиссии "Об особенностях заполнения заявления о выпуске товаров до подачи декларации на товары в отношении товаров, декларирование которых осуществляется в рамках проведения в государствах-членах Евразийского экономического союза пилотного проекта (эксперимента) в области внешней электронной торговли товарами" от 3 августа 2021 года № 95.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Заявление, предусмотренное абзацем первым настоящего пункта, подается оператором и должно содержать сведения в отношении товаров, участвующих в эксперименте и приобретенных физическим лицом на одной иностранной интернет-площадке, пересылаемых в одном почтовом отправлении и размещенных на таможенном складе, расположенном в одном месте международного почтового обмена.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получения информации от иностранной интернет-площадки о совершении физическим лицом государства, не являющегося членом Евразийского экономического союза, сделки купли-продажи товаров, участвующих в эксперименте и помещенных под таможенную процедуру таможенного склада, оператором совершаются таможенные операции, связанные с выпуском товаров в соответствии с таможенной процедурой реэкспорта.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После получения информации от иностранной интернет-площадки о совершении физическим лицом другого государства-члена Евразийского экономического союза сделки купли-продажи товаров, участвующих в эксперименте и помещенных под таможенную процедуру таможенного склада, оператором совершаются таможенные операции, связанные с выпуском товаров в соответствии с таможенной процедурой таможенного транзита, в соответствии с подпунктом 5 части 1 </w:t>
      </w:r>
      <w:r>
        <w:rPr>
          <w:rFonts w:ascii="Arial" w:cs="Arial" w:eastAsia="Arial" w:hAnsi="Arial"/>
          <w:sz w:val="24"/>
          <w:szCs w:val="24"/>
        </w:rPr>
        <w:t xml:space="preserve">статьи 161 </w:t>
      </w:r>
      <w:r>
        <w:rPr>
          <w:rFonts w:ascii="Arial" w:cs="Arial" w:eastAsia="Arial" w:hAnsi="Arial"/>
          <w:sz w:val="24"/>
          <w:szCs w:val="24"/>
        </w:rPr>
        <w:t xml:space="preserve">Кодекса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Подача декларации на товары, указанные в пунктах 10, 11 настоящего Положения, осуществляется в электронном виде в объеме сведений, указанных в решении Комиссии Таможенного союза "О форме декларации на товары и порядке ее заполнения" от 20 мая 2010 года № 257 и сведений из документов, предусмотренных актами Всемирного почтового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Подача декларации на товары, указанные в пункте 12 настоящего Положения, осуществляется в электронном виде в объеме сведений, указанных в решении Комиссии Таможенного союза "О форме и порядке заполнения транзитной декларации" от 18 июня 2010 года № 289, и сведений из документов, предусмотренных актами Всемирного почтового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помещении товаров, участвующих в эксперименте, под таможенную процедуру таможенного склада, выпуска для внутреннего потребления, реэкспорта и таможенного транзита меры по защите прав на объекты интеллектуальной собственности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52</w:t>
      </w:r>
      <w:r>
        <w:rPr>
          <w:rFonts w:ascii="Arial" w:cs="Arial" w:eastAsia="Arial" w:hAnsi="Arial"/>
          <w:sz w:val="24"/>
          <w:szCs w:val="24"/>
        </w:rPr>
        <w:t xml:space="preserve"> Кодекса Союза таможенными органами не применяются.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Заключительное положение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реализации настоящего Положения уполномоченный государственный орган в сфере таможенного дела утверждает порядок совершения таможенных операций, связанных с помещением под таможенные процедуры и выпуском товаров электронной торговли.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Операторами электронной торговли совместно с уполномоченным государственным органом в сфере таможенного дела разрабатываются соответствующие технологические схемы взаимодействия, которые утверждаются уполномоченным государственным органом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mrxltfuuee6u797aq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dalil.kg/document/160063</w:t>
      </w:r>
    </w:hyperlink>
  </w:p>
  <w:p>
    <w:pPr>
      <w:spacing w:after="0" w:before="40"/>
      <w:jc w:val="center"/>
    </w:pPr>
    <w:hyperlink w:history="1" r:id="rId_fdnxgbscukvnlwdd4s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7a6hrutwl7g6-plw-q9z" Type="http://schemas.openxmlformats.org/officeDocument/2006/relationships/hyperlink" Target="https://dalil.kg/document/1600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mrxltfuuee6u797aqhj" Type="http://schemas.openxmlformats.org/officeDocument/2006/relationships/hyperlink" Target="https://dalil.kg/document/160063" TargetMode="External"/><Relationship Id="rId_fdnxgbscukvnlwdd4s4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2026-09-28T16:49:38.141Z</dcterms:created>
  <dcterms:modified xsi:type="dcterms:W3CDTF">2026-09-28T16:49:38.141Z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