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29 марта 2023 года № 174</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 порядке проведения земельной амнистии" от 31 мая 2022 года </w:t>
      </w:r>
      <w:r>
        <w:rPr>
          <w:rFonts w:ascii="Arial" w:cs="Arial" w:eastAsia="Arial" w:hAnsi="Arial"/>
          <w:b/>
          <w:bCs/>
          <w:sz w:val="28"/>
          <w:szCs w:val="28"/>
        </w:rPr>
        <w:t xml:space="preserve">№</w:t>
      </w:r>
      <w:r>
        <w:rPr>
          <w:rFonts w:ascii="Arial" w:cs="Arial" w:eastAsia="Arial" w:hAnsi="Arial"/>
          <w:b/>
          <w:bCs/>
          <w:sz w:val="28"/>
          <w:szCs w:val="28"/>
        </w:rPr>
        <w:t xml:space="preserve"> 291</w:t>
      </w:r>
    </w:p>
    <w:p>
      <w:pPr>
        <w:spacing w:after="60"/>
        <w:ind w:firstLine="567"/>
        <w:jc w:val="both"/>
      </w:pPr>
      <w:r>
        <w:rPr>
          <w:rFonts w:ascii="Arial" w:cs="Arial" w:eastAsia="Arial" w:hAnsi="Arial"/>
          <w:sz w:val="24"/>
          <w:szCs w:val="24"/>
        </w:rPr>
        <w:t xml:space="preserve">В соответствии со </w:t>
      </w:r>
      <w:hyperlink w:history="1" r:id="rIdcjsrzls_pvswknzxzpy7a">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Земельного кодекса Кыргызской Республики, статьями </w:t>
      </w:r>
      <w:hyperlink w:history="1" r:id="rIdluruzzko9nyfd3gljku55">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9qzappxzmra3h1s1ts1oz">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xnxpi90q7knggaepv5rm-">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регулировании земельно-правовых отношений", статьями </w:t>
      </w:r>
      <w:hyperlink w:history="1" r:id="rIdfmjqcctujq6owazjweyg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infqzlic1hz-jvebpj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mm_gxnnpczys2xp_pif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gelmkmi7_lszfru4ab7c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земельной амнистии" от 31 мая 2022 года </w:t>
      </w:r>
      <w:r>
        <w:rPr>
          <w:rFonts w:ascii="Arial" w:cs="Arial" w:eastAsia="Arial" w:hAnsi="Arial"/>
          <w:sz w:val="24"/>
          <w:szCs w:val="24"/>
        </w:rPr>
        <w:t xml:space="preserve">№</w:t>
      </w:r>
      <w:r>
        <w:rPr>
          <w:rFonts w:ascii="Arial" w:cs="Arial" w:eastAsia="Arial" w:hAnsi="Arial"/>
          <w:sz w:val="24"/>
          <w:szCs w:val="24"/>
        </w:rPr>
        <w:t xml:space="preserve"> 291 следующие изменения:</w:t>
      </w:r>
    </w:p>
    <w:p>
      <w:pPr>
        <w:spacing w:after="60"/>
        <w:ind w:firstLine="567"/>
        <w:jc w:val="both"/>
      </w:pPr>
      <w:r>
        <w:rPr>
          <w:rFonts w:ascii="Arial" w:cs="Arial" w:eastAsia="Arial" w:hAnsi="Arial"/>
          <w:sz w:val="24"/>
          <w:szCs w:val="24"/>
        </w:rPr>
        <w:t xml:space="preserve">в </w:t>
      </w:r>
      <w:hyperlink w:history="1" r:id="rIdq15umrxgmpud98myxhvd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земельной амнистии, утвержденном вышеуказанным </w:t>
      </w:r>
      <w:hyperlink w:history="1" r:id="rId5bpfsbvc06k4yrtn7qg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определяет порядок проведения земельной амнистии, создания комиссии, ее функции, процедуру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регистрации прав собственности на объекты земельной амнистии в соответствии с </w:t>
      </w:r>
      <w:hyperlink w:history="1" r:id="rIdhniu32ck8ku2cu8wr2wf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w:t>
      </w:r>
      <w:r>
        <w:rPr>
          <w:rFonts w:ascii="Arial" w:cs="Arial" w:eastAsia="Arial" w:hAnsi="Arial"/>
          <w:sz w:val="24"/>
          <w:szCs w:val="24"/>
        </w:rPr>
        <w:t xml:space="preserve">-</w:t>
      </w:r>
      <w:r>
        <w:rPr>
          <w:rFonts w:ascii="Arial" w:cs="Arial" w:eastAsia="Arial" w:hAnsi="Arial"/>
          <w:sz w:val="24"/>
          <w:szCs w:val="24"/>
        </w:rPr>
        <w:t xml:space="preserve">правовых отношений".";</w:t>
      </w:r>
    </w:p>
    <w:p>
      <w:pPr>
        <w:spacing w:after="60"/>
        <w:ind w:firstLine="567"/>
        <w:jc w:val="both"/>
      </w:pPr>
      <w:r>
        <w:rPr>
          <w:rFonts w:ascii="Arial" w:cs="Arial" w:eastAsia="Arial" w:hAnsi="Arial"/>
          <w:sz w:val="24"/>
          <w:szCs w:val="24"/>
        </w:rPr>
        <w:t xml:space="preserve">- абзац второй пункта 2 изложить в следующей редакции:</w:t>
      </w:r>
    </w:p>
    <w:p>
      <w:pPr>
        <w:spacing w:after="60"/>
        <w:ind w:firstLine="567"/>
        <w:jc w:val="both"/>
      </w:pPr>
      <w:r>
        <w:rPr>
          <w:rFonts w:ascii="Arial" w:cs="Arial" w:eastAsia="Arial" w:hAnsi="Arial"/>
          <w:sz w:val="24"/>
          <w:szCs w:val="24"/>
        </w:rPr>
        <w:t xml:space="preserve">"Местные государственные администрации, органы местного самоуправления и государственные органы при рассмотрении вопроса закрепления, регистрации права собственности и выдачи правоудостоверяющих документов на объекты земельной амнистии руководствуются только нормами </w:t>
      </w:r>
      <w:hyperlink w:history="1" r:id="rIdd0icqao3bpr85sarszmq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регулировании земельно-правовых отношений" и настоящего Положения.";</w:t>
      </w:r>
    </w:p>
    <w:p>
      <w:pPr>
        <w:spacing w:after="60"/>
        <w:ind w:firstLine="567"/>
        <w:jc w:val="both"/>
      </w:pPr>
      <w:r>
        <w:rPr>
          <w:rFonts w:ascii="Arial" w:cs="Arial" w:eastAsia="Arial" w:hAnsi="Arial"/>
          <w:sz w:val="24"/>
          <w:szCs w:val="24"/>
        </w:rPr>
        <w:t xml:space="preserve">- пункты 3, 4, </w:t>
      </w:r>
      <w:hyperlink w:history="1" r:id="rId7aercs0suf4uz0lwn_kfd">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 в пункте 9:</w:t>
      </w:r>
    </w:p>
    <w:p>
      <w:pPr>
        <w:spacing w:after="60"/>
        <w:ind w:firstLine="567"/>
        <w:jc w:val="both"/>
      </w:pPr>
      <w:r>
        <w:rPr>
          <w:rFonts w:ascii="Arial" w:cs="Arial" w:eastAsia="Arial" w:hAnsi="Arial"/>
          <w:sz w:val="24"/>
          <w:szCs w:val="24"/>
        </w:rPr>
        <w:t xml:space="preserve">абзац второй после слов "управлений аграрного развития" дополнить словами ", органов чрезвычайных ситуаций, органов в сфере энергетики, органов экологии, органов водных ресурсов, органов национальной безопасности, органов прокуратуры (по согласованию)";</w:t>
      </w:r>
    </w:p>
    <w:p>
      <w:pPr>
        <w:spacing w:after="60"/>
        <w:ind w:firstLine="567"/>
        <w:jc w:val="both"/>
      </w:pPr>
      <w:r>
        <w:rPr>
          <w:rFonts w:ascii="Arial" w:cs="Arial" w:eastAsia="Arial" w:hAnsi="Arial"/>
          <w:sz w:val="24"/>
          <w:szCs w:val="24"/>
        </w:rPr>
        <w:t xml:space="preserve">в абзаце третьем слова "государственных органов" заменить словами "ведомств и хозяйствующих субъектов";</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в абзаце втором слова "уполномоченными органами" заменить словами "местными государственными администрациями и мэриями городов";</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"К заявлению прилагаются следующие документы в соответствии с видом объекта земельной амнистии, предусмотренным в пункте 2 </w:t>
      </w:r>
      <w:hyperlink w:history="1" r:id="rIdjdwn7idqoppovqukybe7j">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60"/>
        <w:ind w:firstLine="567"/>
        <w:jc w:val="both"/>
      </w:pPr>
      <w:r>
        <w:rPr>
          <w:rFonts w:ascii="Arial" w:cs="Arial" w:eastAsia="Arial" w:hAnsi="Arial"/>
          <w:sz w:val="24"/>
          <w:szCs w:val="24"/>
        </w:rPr>
        <w:t xml:space="preserve">абзацы восьмой-десятый изложить в следующей редакции:</w:t>
      </w:r>
    </w:p>
    <w:p>
      <w:pPr>
        <w:spacing w:after="60"/>
        <w:ind w:firstLine="567"/>
        <w:jc w:val="both"/>
      </w:pPr>
      <w:r>
        <w:rPr>
          <w:rFonts w:ascii="Arial" w:cs="Arial" w:eastAsia="Arial" w:hAnsi="Arial"/>
          <w:sz w:val="24"/>
          <w:szCs w:val="24"/>
        </w:rPr>
        <w:t xml:space="preserve">"- государственные акты о праве частной собственности на земельные участки с целевым назначением "сельскохозяйственное" вследствие разделения земельных долей на земельные участки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оригиналы или заверенные копии уполномоченными государственными органами в сфере архива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о переводе (трансформации) орошаемой пашни под индивидуальное жилищное строительство, принятые до вступления в силу </w:t>
      </w:r>
      <w:hyperlink w:history="1" r:id="rIdsnndldb1yqm440qmzxd8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с приложением землеустроительных материалов о переводе (трансформации) земельного участка (решение айыл окмоту и айылного кенеша, генеральный план или градостроительная документация с технико-экономическим обоснованием, акт обследования земельного участка, экспликация и план земельного участка) - применительно к объекту земельной амнистии предусмотренным в подпункте б) пункта 3 </w:t>
      </w:r>
      <w:hyperlink w:history="1" r:id="rIde01wsoc3w-nllm2xpb67q">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60"/>
        <w:ind w:firstLine="567"/>
        <w:jc w:val="both"/>
      </w:pPr>
      <w:r>
        <w:rPr>
          <w:rFonts w:ascii="Arial" w:cs="Arial" w:eastAsia="Arial" w:hAnsi="Arial"/>
          <w:sz w:val="24"/>
          <w:szCs w:val="24"/>
        </w:rPr>
        <w:t xml:space="preserve">За достоверность предоставленных материалов персональную ответственность несет заявитель.";</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По мере поступления заявлений с прилагаемыми документами комиссия направляет их для дачи заключений в соответствии с компетенцией в следующие территориальные подразделения уполномоченных государственных органов:</w:t>
      </w:r>
    </w:p>
    <w:p>
      <w:pPr>
        <w:spacing w:after="60"/>
        <w:ind w:firstLine="567"/>
        <w:jc w:val="both"/>
      </w:pPr>
      <w:r>
        <w:rPr>
          <w:rFonts w:ascii="Arial" w:cs="Arial" w:eastAsia="Arial" w:hAnsi="Arial"/>
          <w:sz w:val="24"/>
          <w:szCs w:val="24"/>
        </w:rPr>
        <w:t xml:space="preserve">- в сфере регистрации прав на недвижимое имущество - на наличие или отсутствие решений судебных органов по земельному участку;</w:t>
      </w:r>
    </w:p>
    <w:p>
      <w:pPr>
        <w:spacing w:after="60"/>
        <w:ind w:firstLine="567"/>
        <w:jc w:val="both"/>
      </w:pPr>
      <w:r>
        <w:rPr>
          <w:rFonts w:ascii="Arial" w:cs="Arial" w:eastAsia="Arial" w:hAnsi="Arial"/>
          <w:sz w:val="24"/>
          <w:szCs w:val="24"/>
        </w:rPr>
        <w:t xml:space="preserve">- в сфере сохранения, использования и развития историко-культурного наследия - на наличие или отсутствие объектов историко-культурного наследия в Списках памятников истории и культуры республиканского значения и местного значения, утвержденных в установленном порядке;</w:t>
      </w:r>
    </w:p>
    <w:p>
      <w:pPr>
        <w:spacing w:after="60"/>
        <w:ind w:firstLine="567"/>
        <w:jc w:val="both"/>
      </w:pPr>
      <w:r>
        <w:rPr>
          <w:rFonts w:ascii="Arial" w:cs="Arial" w:eastAsia="Arial" w:hAnsi="Arial"/>
          <w:sz w:val="24"/>
          <w:szCs w:val="24"/>
        </w:rPr>
        <w:t xml:space="preserve">- в сфере охраны здоровья, санитарной и ветеринарной безопасности - на наличие или отсутствие объектов, негативно влияющих на здоровье человека (санитарно-защитной зоны кладбищ, скотомогильников, свалок и т.д.);</w:t>
      </w:r>
    </w:p>
    <w:p>
      <w:pPr>
        <w:spacing w:after="60"/>
        <w:ind w:firstLine="567"/>
        <w:jc w:val="both"/>
      </w:pPr>
      <w:r>
        <w:rPr>
          <w:rFonts w:ascii="Arial" w:cs="Arial" w:eastAsia="Arial" w:hAnsi="Arial"/>
          <w:sz w:val="24"/>
          <w:szCs w:val="24"/>
        </w:rPr>
        <w:t xml:space="preserve">- в сфере охраны окружающей среды, экологии и климата - на наличие или отсутствие объектов, негативно влияющих на окружающую среду;</w:t>
      </w:r>
    </w:p>
    <w:p>
      <w:pPr>
        <w:spacing w:after="60"/>
        <w:ind w:firstLine="567"/>
        <w:jc w:val="both"/>
      </w:pPr>
      <w:r>
        <w:rPr>
          <w:rFonts w:ascii="Arial" w:cs="Arial" w:eastAsia="Arial" w:hAnsi="Arial"/>
          <w:sz w:val="24"/>
          <w:szCs w:val="24"/>
        </w:rPr>
        <w:t xml:space="preserve">- в сфере чрезвычайных ситуаций - на предмет подпадания земельного участка под зону чрезвычайной ситуации природного и техногенного характера.</w:t>
      </w:r>
    </w:p>
    <w:p>
      <w:pPr>
        <w:spacing w:after="60"/>
        <w:ind w:firstLine="567"/>
        <w:jc w:val="both"/>
      </w:pPr>
      <w:r>
        <w:rPr>
          <w:rFonts w:ascii="Arial" w:cs="Arial" w:eastAsia="Arial" w:hAnsi="Arial"/>
          <w:sz w:val="24"/>
          <w:szCs w:val="24"/>
        </w:rPr>
        <w:t xml:space="preserve">Заключения территориальных подразделений уполномоченных государственных органов предоставляются комиссии безвозмездно в течение 3 рабочих дней.</w:t>
      </w:r>
    </w:p>
    <w:p>
      <w:pPr>
        <w:spacing w:after="60"/>
        <w:ind w:firstLine="567"/>
        <w:jc w:val="both"/>
      </w:pPr>
      <w:r>
        <w:rPr>
          <w:rFonts w:ascii="Arial" w:cs="Arial" w:eastAsia="Arial" w:hAnsi="Arial"/>
          <w:sz w:val="24"/>
          <w:szCs w:val="24"/>
        </w:rPr>
        <w:t xml:space="preserve">В случае непредоставления территориальными подразделениями уполномоченных государственных органов заключений в предусмотренный срок комиссией принимается решение как положительная позиция данного государственного органа.</w:t>
      </w:r>
    </w:p>
    <w:p>
      <w:pPr>
        <w:spacing w:after="60"/>
        <w:ind w:firstLine="567"/>
        <w:jc w:val="both"/>
      </w:pPr>
      <w:r>
        <w:rPr>
          <w:rFonts w:ascii="Arial" w:cs="Arial" w:eastAsia="Arial" w:hAnsi="Arial"/>
          <w:sz w:val="24"/>
          <w:szCs w:val="24"/>
        </w:rPr>
        <w:t xml:space="preserve">Руководители уполномоченных государственных органов за достоверность и сроки исполнения заключений несут персональную ответственность, предусмотренную законодательством в сфере уголовного, земельного и трудового законодательства."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12:</w:t>
      </w:r>
    </w:p>
    <w:p>
      <w:pPr>
        <w:spacing w:after="60"/>
        <w:ind w:firstLine="567"/>
        <w:jc w:val="both"/>
      </w:pPr>
      <w:r>
        <w:rPr>
          <w:rFonts w:ascii="Arial" w:cs="Arial" w:eastAsia="Arial" w:hAnsi="Arial"/>
          <w:sz w:val="24"/>
          <w:szCs w:val="24"/>
        </w:rPr>
        <w:t xml:space="preserve">слова "в течение 30 дней" исключить;</w:t>
      </w:r>
    </w:p>
    <w:p>
      <w:pPr>
        <w:spacing w:after="60"/>
        <w:ind w:firstLine="567"/>
        <w:jc w:val="both"/>
      </w:pPr>
      <w:r>
        <w:rPr>
          <w:rFonts w:ascii="Arial" w:cs="Arial" w:eastAsia="Arial" w:hAnsi="Arial"/>
          <w:sz w:val="24"/>
          <w:szCs w:val="24"/>
        </w:rPr>
        <w:t xml:space="preserve">после слов "(далее - Список)" дополнить словами ", срок которого не должен превышать 30 дней";</w:t>
      </w:r>
    </w:p>
    <w:p>
      <w:pPr>
        <w:spacing w:after="60"/>
        <w:ind w:firstLine="567"/>
        <w:jc w:val="both"/>
      </w:pPr>
      <w:r>
        <w:rPr>
          <w:rFonts w:ascii="Arial" w:cs="Arial" w:eastAsia="Arial" w:hAnsi="Arial"/>
          <w:sz w:val="24"/>
          <w:szCs w:val="24"/>
        </w:rPr>
        <w:t xml:space="preserve">- в пункте 13:</w:t>
      </w:r>
    </w:p>
    <w:p>
      <w:pPr>
        <w:spacing w:after="60"/>
        <w:ind w:firstLine="567"/>
        <w:jc w:val="both"/>
      </w:pPr>
      <w:r>
        <w:rPr>
          <w:rFonts w:ascii="Arial" w:cs="Arial" w:eastAsia="Arial" w:hAnsi="Arial"/>
          <w:sz w:val="24"/>
          <w:szCs w:val="24"/>
        </w:rPr>
        <w:t xml:space="preserve">после цифр "11" дополнить словами "и 14";</w:t>
      </w:r>
    </w:p>
    <w:p>
      <w:pPr>
        <w:spacing w:after="60"/>
        <w:ind w:firstLine="567"/>
        <w:jc w:val="both"/>
      </w:pPr>
      <w:r>
        <w:rPr>
          <w:rFonts w:ascii="Arial" w:cs="Arial" w:eastAsia="Arial" w:hAnsi="Arial"/>
          <w:sz w:val="24"/>
          <w:szCs w:val="24"/>
        </w:rPr>
        <w:t xml:space="preserve">после слова "об отказе" дополнить словами "в течение 3 рабочих дней.";</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Комиссия рассматривает и принимает решение о непригодности для использования в сельскохозяйственном производстве земельных участков на основании положительных заключений уполномоченных государственных органов:</w:t>
      </w:r>
    </w:p>
    <w:p>
      <w:pPr>
        <w:spacing w:after="60"/>
        <w:ind w:firstLine="567"/>
        <w:jc w:val="both"/>
      </w:pPr>
      <w:r>
        <w:rPr>
          <w:rFonts w:ascii="Arial" w:cs="Arial" w:eastAsia="Arial" w:hAnsi="Arial"/>
          <w:sz w:val="24"/>
          <w:szCs w:val="24"/>
        </w:rPr>
        <w:t xml:space="preserve">- в сфере водных ресурсов (ввиду невозможности различного вида мелиорации)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аграрного развития при невозможности использования земельного участка по целевому назначению в сельскохозяйственном назначении (отсутствие севооборота, подъездных путей для проезда сельскохозяйственной техники);</w:t>
      </w:r>
    </w:p>
    <w:p>
      <w:pPr>
        <w:spacing w:after="60"/>
        <w:ind w:firstLine="567"/>
        <w:jc w:val="both"/>
      </w:pPr>
      <w:r>
        <w:rPr>
          <w:rFonts w:ascii="Arial" w:cs="Arial" w:eastAsia="Arial" w:hAnsi="Arial"/>
          <w:sz w:val="24"/>
          <w:szCs w:val="24"/>
        </w:rPr>
        <w:t xml:space="preserve">- земельного и водного надзора (на соответствие земельному и водному законодательству).</w:t>
      </w:r>
    </w:p>
    <w:p>
      <w:pPr>
        <w:spacing w:after="60"/>
        <w:ind w:firstLine="567"/>
        <w:jc w:val="both"/>
      </w:pPr>
      <w:r>
        <w:rPr>
          <w:rFonts w:ascii="Arial" w:cs="Arial" w:eastAsia="Arial" w:hAnsi="Arial"/>
          <w:sz w:val="24"/>
          <w:szCs w:val="24"/>
        </w:rPr>
        <w:t xml:space="preserve">При расположении земельного участка на территории городов республиканского и областного значения, уполномоченный государственный орган в сфере сельского хозяйства, имеет право закрепить ответственных лиц по рассмотрению о непригодности для использования в сельскохозяйственном производстве земельных участков в городах республиканского и областного назначения.";</w:t>
      </w:r>
    </w:p>
    <w:p>
      <w:pPr>
        <w:spacing w:after="60"/>
        <w:ind w:firstLine="567"/>
        <w:jc w:val="both"/>
      </w:pPr>
      <w:r>
        <w:rPr>
          <w:rFonts w:ascii="Arial" w:cs="Arial" w:eastAsia="Arial" w:hAnsi="Arial"/>
          <w:sz w:val="24"/>
          <w:szCs w:val="24"/>
        </w:rPr>
        <w:t xml:space="preserve">- наименование </w:t>
      </w:r>
      <w:hyperlink w:history="1" r:id="rIdxzanoxkj0upmakze_wtuk">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Процедура проведения общественного оповещения, утверждения перечня границ и списка пользователей и/или собственников объектов земельной амнистии с указанием границ и площади земельных участков";</w:t>
      </w:r>
    </w:p>
    <w:p>
      <w:pPr>
        <w:spacing w:after="60"/>
        <w:ind w:firstLine="567"/>
        <w:jc w:val="both"/>
      </w:pPr>
      <w:r>
        <w:rPr>
          <w:rFonts w:ascii="Arial" w:cs="Arial" w:eastAsia="Arial" w:hAnsi="Arial"/>
          <w:sz w:val="24"/>
          <w:szCs w:val="24"/>
        </w:rPr>
        <w:t xml:space="preserve">- пункт 16 изложить в следующей редакции:</w:t>
      </w:r>
    </w:p>
    <w:p>
      <w:pPr>
        <w:spacing w:after="60"/>
        <w:ind w:firstLine="567"/>
        <w:jc w:val="both"/>
      </w:pPr>
      <w:r>
        <w:rPr>
          <w:rFonts w:ascii="Arial" w:cs="Arial" w:eastAsia="Arial" w:hAnsi="Arial"/>
          <w:sz w:val="24"/>
          <w:szCs w:val="24"/>
        </w:rPr>
        <w:t xml:space="preserve">"16. Перечень границ и список пользователей и/или собственников объектов земельной амнистии с указанием границ и площади земельных участков, подлежат опубликованию на специальных местах обозрения (доска, стенд), находящихся в зданиях органов местного самоуправления или на веб-сайтах местных государственных администраций, органов местного самоуправления.";</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в абзаце втором слова "10 дней" заменить словами "7 рабочих дней";</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"Комиссия не рассматривает претензии, которые представлены после истечения, установленного 30-дневного срока.";</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По результатам общественного оповещения комиссия, в случае отсутствия претензий, в течение 3 рабочих дней направляет перечень границ и списки пользователей и/или собственников объектов земельной амнистии с указанием границ и площади земельных участков:</w:t>
      </w:r>
    </w:p>
    <w:p>
      <w:pPr>
        <w:spacing w:after="60"/>
        <w:ind w:firstLine="567"/>
        <w:jc w:val="both"/>
      </w:pPr>
      <w:r>
        <w:rPr>
          <w:rFonts w:ascii="Arial" w:cs="Arial" w:eastAsia="Arial" w:hAnsi="Arial"/>
          <w:sz w:val="24"/>
          <w:szCs w:val="24"/>
        </w:rPr>
        <w:t xml:space="preserve">- в исполнительные органы местного самоуправления для последующего незамедлительного уведомления заявителей;</w:t>
      </w:r>
    </w:p>
    <w:p>
      <w:pPr>
        <w:spacing w:after="60"/>
        <w:ind w:firstLine="567"/>
        <w:jc w:val="both"/>
      </w:pPr>
      <w:r>
        <w:rPr>
          <w:rFonts w:ascii="Arial" w:cs="Arial" w:eastAsia="Arial" w:hAnsi="Arial"/>
          <w:sz w:val="24"/>
          <w:szCs w:val="24"/>
        </w:rPr>
        <w:t xml:space="preserve">- в соответствующие уполномоченные государственные органы архитектуры и градостроительства для разработки в установленном порядке предварительных Схем и проектов землеустройства, за исключением садово-дачных участков.</w:t>
      </w:r>
    </w:p>
    <w:p>
      <w:pPr>
        <w:spacing w:after="60"/>
        <w:ind w:firstLine="567"/>
        <w:jc w:val="both"/>
      </w:pPr>
      <w:r>
        <w:rPr>
          <w:rFonts w:ascii="Arial" w:cs="Arial" w:eastAsia="Arial" w:hAnsi="Arial"/>
          <w:sz w:val="24"/>
          <w:szCs w:val="24"/>
        </w:rPr>
        <w:t xml:space="preserve">Размер земельного участка, закрепляемого за субъектом земельной амнистии, устанавливается исходя из предельной площади, утвержденного в данном айылном аймаке или населенном пункте для строительства индивидуального жилого дома, за исключением земель, находящихся в частной собственности, которые производятся на основании Схемы и проекта землеустройства.";</w:t>
      </w:r>
    </w:p>
    <w:p>
      <w:pPr>
        <w:spacing w:after="60"/>
        <w:ind w:firstLine="567"/>
        <w:jc w:val="both"/>
      </w:pPr>
      <w:r>
        <w:rPr>
          <w:rFonts w:ascii="Arial" w:cs="Arial" w:eastAsia="Arial" w:hAnsi="Arial"/>
          <w:sz w:val="24"/>
          <w:szCs w:val="24"/>
        </w:rPr>
        <w:t xml:space="preserve">- в пункте 19 слова "Проекта застройки" заменить словами "Схем и проектов землеустройства";</w:t>
      </w:r>
    </w:p>
    <w:p>
      <w:pPr>
        <w:spacing w:after="60"/>
        <w:ind w:firstLine="567"/>
        <w:jc w:val="both"/>
      </w:pPr>
      <w:r>
        <w:rPr>
          <w:rFonts w:ascii="Arial" w:cs="Arial" w:eastAsia="Arial" w:hAnsi="Arial"/>
          <w:sz w:val="24"/>
          <w:szCs w:val="24"/>
        </w:rPr>
        <w:t xml:space="preserve">- пункт 20 изложить в следующей редакции:</w:t>
      </w:r>
    </w:p>
    <w:p>
      <w:pPr>
        <w:spacing w:after="60"/>
        <w:ind w:firstLine="567"/>
        <w:jc w:val="both"/>
      </w:pPr>
      <w:r>
        <w:rPr>
          <w:rFonts w:ascii="Arial" w:cs="Arial" w:eastAsia="Arial" w:hAnsi="Arial"/>
          <w:sz w:val="24"/>
          <w:szCs w:val="24"/>
        </w:rPr>
        <w:t xml:space="preserve">"20. Уполномоченные государственные органы архитектуры и градостроительства направляют Схему и проекты землеустройства, на рассмотрение комиссии.";</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в абзацах первом и втором слова "Проект застройки" заменить словами "Схем и проектов землеустройства";</w:t>
      </w:r>
    </w:p>
    <w:p>
      <w:pPr>
        <w:spacing w:after="60"/>
        <w:ind w:firstLine="567"/>
        <w:jc w:val="both"/>
      </w:pPr>
      <w:r>
        <w:rPr>
          <w:rFonts w:ascii="Arial" w:cs="Arial" w:eastAsia="Arial" w:hAnsi="Arial"/>
          <w:sz w:val="24"/>
          <w:szCs w:val="24"/>
        </w:rPr>
        <w:t xml:space="preserve">дополнить абзацем третьим следующего содержания:</w:t>
      </w:r>
    </w:p>
    <w:p>
      <w:pPr>
        <w:spacing w:after="60"/>
        <w:ind w:firstLine="567"/>
        <w:jc w:val="both"/>
      </w:pPr>
      <w:r>
        <w:rPr>
          <w:rFonts w:ascii="Arial" w:cs="Arial" w:eastAsia="Arial" w:hAnsi="Arial"/>
          <w:sz w:val="24"/>
          <w:szCs w:val="24"/>
        </w:rPr>
        <w:t xml:space="preserve">"Решения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60"/>
        <w:ind w:firstLine="567"/>
        <w:jc w:val="both"/>
      </w:pPr>
      <w:r>
        <w:rPr>
          <w:rFonts w:ascii="Arial" w:cs="Arial" w:eastAsia="Arial" w:hAnsi="Arial"/>
          <w:sz w:val="24"/>
          <w:szCs w:val="24"/>
        </w:rPr>
        <w:t xml:space="preserve">- абзац второй пункта 23 признать утратившим силу;</w:t>
      </w:r>
    </w:p>
    <w:p>
      <w:pPr>
        <w:spacing w:after="60"/>
        <w:ind w:firstLine="567"/>
        <w:jc w:val="both"/>
      </w:pPr>
      <w:r>
        <w:rPr>
          <w:rFonts w:ascii="Arial" w:cs="Arial" w:eastAsia="Arial" w:hAnsi="Arial"/>
          <w:sz w:val="24"/>
          <w:szCs w:val="24"/>
        </w:rPr>
        <w:t xml:space="preserve">- в пункте 25:</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"Перечень границ, Схем и проектов землеустройства и Списки пользователей и/или собственников объектов земельной амнистии с указанием границ и площади земельных участков утверждаются решением местной государственной администрации или мэриями городов в течение 5 рабочих дней со дня поступления решения комиссии.";</w:t>
      </w:r>
    </w:p>
    <w:p>
      <w:pPr>
        <w:spacing w:after="60"/>
        <w:ind w:firstLine="567"/>
        <w:jc w:val="both"/>
      </w:pPr>
      <w:r>
        <w:rPr>
          <w:rFonts w:ascii="Arial" w:cs="Arial" w:eastAsia="Arial" w:hAnsi="Arial"/>
          <w:sz w:val="24"/>
          <w:szCs w:val="24"/>
        </w:rPr>
        <w:t xml:space="preserve">абзац второй после слов "Земли населенных пунктов" дополнить словами ", без согласия собственников";</w:t>
      </w:r>
    </w:p>
    <w:p>
      <w:pPr>
        <w:spacing w:after="60"/>
        <w:ind w:firstLine="567"/>
        <w:jc w:val="both"/>
      </w:pPr>
      <w:r>
        <w:rPr>
          <w:rFonts w:ascii="Arial" w:cs="Arial" w:eastAsia="Arial" w:hAnsi="Arial"/>
          <w:sz w:val="24"/>
          <w:szCs w:val="24"/>
        </w:rPr>
        <w:t xml:space="preserve">в абзаце третьем слова "Бишкек и Ош" исключить;</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слова "Проекта застройки" заменить словами "Схем и проектов землеустройства";</w:t>
      </w:r>
    </w:p>
    <w:p>
      <w:pPr>
        <w:spacing w:after="60"/>
        <w:ind w:firstLine="567"/>
        <w:jc w:val="both"/>
      </w:pPr>
      <w:r>
        <w:rPr>
          <w:rFonts w:ascii="Arial" w:cs="Arial" w:eastAsia="Arial" w:hAnsi="Arial"/>
          <w:sz w:val="24"/>
          <w:szCs w:val="24"/>
        </w:rPr>
        <w:t xml:space="preserve">в абзаце втором слова "Бишкек и Ош" исключить;</w:t>
      </w:r>
    </w:p>
    <w:p>
      <w:pPr>
        <w:spacing w:after="60"/>
        <w:ind w:firstLine="567"/>
        <w:jc w:val="both"/>
      </w:pPr>
      <w:r>
        <w:rPr>
          <w:rFonts w:ascii="Arial" w:cs="Arial" w:eastAsia="Arial" w:hAnsi="Arial"/>
          <w:sz w:val="24"/>
          <w:szCs w:val="24"/>
        </w:rPr>
        <w:t xml:space="preserve">- пункт 29 изложить в следующей редакции:</w:t>
      </w:r>
    </w:p>
    <w:p>
      <w:pPr>
        <w:spacing w:after="60"/>
        <w:ind w:firstLine="567"/>
        <w:jc w:val="both"/>
      </w:pPr>
      <w:r>
        <w:rPr>
          <w:rFonts w:ascii="Arial" w:cs="Arial" w:eastAsia="Arial" w:hAnsi="Arial"/>
          <w:sz w:val="24"/>
          <w:szCs w:val="24"/>
        </w:rPr>
        <w:t xml:space="preserve">"29. Регистрация прав на объекты земельной амнистии осуществляется уполномоченным органом по государственной регистрации прав на недвижимое имущество на основании решения исполнительного органа местного самоуправления о закреплении прав собственности на объекты земельной амнистии.</w:t>
      </w:r>
    </w:p>
    <w:p>
      <w:pPr>
        <w:spacing w:after="60"/>
        <w:ind w:firstLine="567"/>
        <w:jc w:val="both"/>
      </w:pPr>
      <w:r>
        <w:rPr>
          <w:rFonts w:ascii="Arial" w:cs="Arial" w:eastAsia="Arial" w:hAnsi="Arial"/>
          <w:sz w:val="24"/>
          <w:szCs w:val="24"/>
        </w:rPr>
        <w:t xml:space="preserve">В случае наличия ранее зарегистрированных прав частной собственности на объект земельной амнистии осуществляется предварительная регистрация права субъекта земельной амнистии с перенесением ранее зарегистрированного права в третий раздел регистрационной карточки и в раздел ограничений выдаваемого правоудостоверяющего документа в качестве обременения на земельный участок.</w:t>
      </w:r>
    </w:p>
    <w:p>
      <w:pPr>
        <w:spacing w:after="60"/>
        <w:ind w:firstLine="567"/>
        <w:jc w:val="both"/>
      </w:pPr>
      <w:r>
        <w:rPr>
          <w:rFonts w:ascii="Arial" w:cs="Arial" w:eastAsia="Arial" w:hAnsi="Arial"/>
          <w:sz w:val="24"/>
          <w:szCs w:val="24"/>
        </w:rPr>
        <w:t xml:space="preserve">Осуществление сделок с земельным участком возможно только после снятия данного обременения.</w:t>
      </w:r>
    </w:p>
    <w:p>
      <w:pPr>
        <w:spacing w:after="60"/>
        <w:ind w:firstLine="567"/>
        <w:jc w:val="both"/>
      </w:pPr>
      <w:r>
        <w:rPr>
          <w:rFonts w:ascii="Arial" w:cs="Arial" w:eastAsia="Arial" w:hAnsi="Arial"/>
          <w:sz w:val="24"/>
          <w:szCs w:val="24"/>
        </w:rPr>
        <w:t xml:space="preserve">Снятие обременения осуществляется при предоставлении соответствующего соглашения сторон или соответствующего решения суда.";</w:t>
      </w:r>
    </w:p>
    <w:p>
      <w:pPr>
        <w:spacing w:after="60"/>
        <w:ind w:firstLine="567"/>
        <w:jc w:val="both"/>
      </w:pPr>
      <w:r>
        <w:rPr>
          <w:rFonts w:ascii="Arial" w:cs="Arial" w:eastAsia="Arial" w:hAnsi="Arial"/>
          <w:sz w:val="24"/>
          <w:szCs w:val="24"/>
        </w:rPr>
        <w:t xml:space="preserve">- </w:t>
      </w:r>
      <w:hyperlink w:history="1" r:id="rIdhf7mzyrfs_-__qqpt-jqg">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пунктом 31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Индивидуальные жилые дома на объектах земельной амнистии и индивидуальные жилые дома в населенных пунктах, не имеющие правоустанавливающих документов на земельный участок, признаются жилыми строениями в упрощенном порядке согласно нормам </w:t>
      </w:r>
      <w:hyperlink w:history="1" r:id="rIdn1uy_f9_fmfengll_wio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утвержденного </w:t>
      </w:r>
      <w:hyperlink w:history="1" r:id="rIdhaxd0bqva9llyccj8r_3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60"/>
        <w:ind w:firstLine="567"/>
        <w:jc w:val="both"/>
      </w:pPr>
      <w:r>
        <w:rPr>
          <w:rFonts w:ascii="Arial" w:cs="Arial" w:eastAsia="Arial" w:hAnsi="Arial"/>
          <w:sz w:val="24"/>
          <w:szCs w:val="24"/>
        </w:rPr>
        <w:t xml:space="preserve">- </w:t>
      </w:r>
      <w:hyperlink w:history="1" r:id="rIddtbbzfom87cog2vxzaog4">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2. Министерствам, административным ведомствам, местным государственным администрациям и органам местного самоуправления Кыргызской Республики принять необходимые меры, вытекающие из настоящего постановления.</w:t>
      </w:r>
    </w:p>
    <w:p>
      <w:pPr>
        <w:spacing w:after="6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jsrzls_pvswknzxzpy7a" Type="http://schemas.openxmlformats.org/officeDocument/2006/relationships/hyperlink" Target="http://kodeks.duckdns.org/document/8#st_16" TargetMode="External"/><Relationship Id="rIdluruzzko9nyfd3gljku55" Type="http://schemas.openxmlformats.org/officeDocument/2006/relationships/hyperlink" Target="http://kodeks.duckdns.org/document/112356#st_6" TargetMode="External"/><Relationship Id="rId9qzappxzmra3h1s1ts1oz" Type="http://schemas.openxmlformats.org/officeDocument/2006/relationships/hyperlink" Target="http://kodeks.duckdns.org/document/112356#st_8" TargetMode="External"/><Relationship Id="rIdxnxpi90q7knggaepv5rm-" Type="http://schemas.openxmlformats.org/officeDocument/2006/relationships/hyperlink" Target="http://kodeks.duckdns.org/document/112356#st_10" TargetMode="External"/><Relationship Id="rIdfmjqcctujq6owazjweygf" Type="http://schemas.openxmlformats.org/officeDocument/2006/relationships/hyperlink" Target="http://kodeks.duckdns.org/document/112301#st_13" TargetMode="External"/><Relationship Id="rId-ginfqzlic1hz-jvebpji" Type="http://schemas.openxmlformats.org/officeDocument/2006/relationships/hyperlink" Target="http://kodeks.duckdns.org/document/112301#st_17" TargetMode="External"/><Relationship Id="rIdmm_gxnnpczys2xp_pifwn" Type="http://schemas.openxmlformats.org/officeDocument/2006/relationships/hyperlink" Target="http://kodeks.duckdns.org/document/159221" TargetMode="External"/><Relationship Id="rIdgelmkmi7_lszfru4ab7cz" Type="http://schemas.openxmlformats.org/officeDocument/2006/relationships/hyperlink" Target="http://kodeks.duckdns.org/document/159222" TargetMode="External"/><Relationship Id="rIdq15umrxgmpud98myxhvdx" Type="http://schemas.openxmlformats.org/officeDocument/2006/relationships/hyperlink" Target="http://kodeks.duckdns.org/document/159222" TargetMode="External"/><Relationship Id="rId5bpfsbvc06k4yrtn7qgxx" Type="http://schemas.openxmlformats.org/officeDocument/2006/relationships/hyperlink" Target="http://kodeks.duckdns.org/document/159221" TargetMode="External"/><Relationship Id="rIdhniu32ck8ku2cu8wr2wfe" Type="http://schemas.openxmlformats.org/officeDocument/2006/relationships/hyperlink" Target="http://kodeks.duckdns.org/document/112356" TargetMode="External"/><Relationship Id="rIdd0icqao3bpr85sarszmqp" Type="http://schemas.openxmlformats.org/officeDocument/2006/relationships/hyperlink" Target="http://kodeks.duckdns.org/document/112356" TargetMode="External"/><Relationship Id="rId7aercs0suf4uz0lwn_kfd" Type="http://schemas.openxmlformats.org/officeDocument/2006/relationships/hyperlink" Target="http://kodeks.duckdns.org/document/159221#g2" TargetMode="External"/><Relationship Id="rIdjdwn7idqoppovqukybe7j" Type="http://schemas.openxmlformats.org/officeDocument/2006/relationships/hyperlink" Target="http://kodeks.duckdns.org/document/112356#st_2" TargetMode="External"/><Relationship Id="rIdsnndldb1yqm440qmzxd8s" Type="http://schemas.openxmlformats.org/officeDocument/2006/relationships/hyperlink" Target="http://kodeks.duckdns.org/document/202627" TargetMode="External"/><Relationship Id="rIde01wsoc3w-nllm2xpb67q" Type="http://schemas.openxmlformats.org/officeDocument/2006/relationships/hyperlink" Target="http://kodeks.duckdns.org/document/112356#st_2" TargetMode="External"/><Relationship Id="rIdxzanoxkj0upmakze_wtuk" Type="http://schemas.openxmlformats.org/officeDocument/2006/relationships/hyperlink" Target="http://kodeks.duckdns.org/document/159222#g4" TargetMode="External"/><Relationship Id="rIdhf7mzyrfs_-__qqpt-jqg" Type="http://schemas.openxmlformats.org/officeDocument/2006/relationships/hyperlink" Target="http://kodeks.duckdns.org/document/159222#g6" TargetMode="External"/><Relationship Id="rIdn1uy_f9_fmfengll_wio5" Type="http://schemas.openxmlformats.org/officeDocument/2006/relationships/hyperlink" Target="http://kodeks.duckdns.org/document/158396" TargetMode="External"/><Relationship Id="rIdhaxd0bqva9llyccj8r_3h" Type="http://schemas.openxmlformats.org/officeDocument/2006/relationships/hyperlink" Target="http://kodeks.duckdns.org/document/158395" TargetMode="External"/><Relationship Id="rIddtbbzfom87cog2vxzaog4" Type="http://schemas.openxmlformats.org/officeDocument/2006/relationships/hyperlink" Target="http://kodeks.duckdns.org/document/159222#g7"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2026-09-23T06:10:08.625Z</dcterms:created>
  <dcterms:modified xsi:type="dcterms:W3CDTF">2026-09-23T06:10:08.625Z</dcterms:modified>
</cp:coreProperties>
</file>

<file path=docProps/custom.xml><?xml version="1.0" encoding="utf-8"?>
<Properties xmlns="http://schemas.openxmlformats.org/officeDocument/2006/custom-properties" xmlns:vt="http://schemas.openxmlformats.org/officeDocument/2006/docPropsVTypes"/>
</file>