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7ogxh0leb7k0wcqbh_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2 "Отчет о движении денежных средств"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2 "Отчет о движении денежных средств" (далее - СФООСГУ 2) разработан в соответствии с пунктом 2 </w:t>
      </w:r>
      <w:hyperlink w:history="1" r:id="rIdnr5uveudpvpnpdvdrw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taovfnwqylpfybx7ts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3ftqjiyu4flsjykqyj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2 "Отчет о движении денежных средств" (далее - МСФООС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2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2 устанавливает порядок представления отчета о движении денежных средств организациями Кыргызской Республики. Отчет о движении денежных средств содержит информацию об источниках поступления и направлении расходования денежных средств и эквивалентов денежных средств в разрезе финансовой, инвестиционной и операционной деятельности, а также остатках денежных средств и эквивалентов денежных средств на начало и конец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СФООСГУ 2 применяется при формировании индивидуальной и консолидированной финансовой отчетности общего назначения, подготовленной и представленной в соответствии с требованиями СФООСГУ, иными нормативными правовыми актами, регулирующими ведение бухгалтерского учета и представление финансовой отчетности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СФООСГУ 2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</w:t>
      </w:r>
      <w:r>
        <w:rPr>
          <w:rFonts w:ascii="Arial" w:cs="Arial" w:eastAsia="Arial" w:hAnsi="Arial"/>
          <w:sz w:val="24"/>
          <w:szCs w:val="24"/>
        </w:rPr>
        <w:t xml:space="preserve"> - наличные и безналичные денежные средства, в т.ч. депозиты до востребования в валюте Кыргызской Республики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эквиваленты денежных средств</w:t>
      </w:r>
      <w:r>
        <w:rPr>
          <w:rFonts w:ascii="Arial" w:cs="Arial" w:eastAsia="Arial" w:hAnsi="Arial"/>
          <w:sz w:val="24"/>
          <w:szCs w:val="24"/>
        </w:rPr>
        <w:t xml:space="preserve"> - краткосрочные высоколиквидные инвестиции, легко обратимые в заранее известные суммы денежных средств и подверженные незначительному риску изменения их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потоки</w:t>
      </w:r>
      <w:r>
        <w:rPr>
          <w:rFonts w:ascii="Arial" w:cs="Arial" w:eastAsia="Arial" w:hAnsi="Arial"/>
          <w:sz w:val="24"/>
          <w:szCs w:val="24"/>
        </w:rPr>
        <w:t xml:space="preserve"> - поступления и выплаты денежных средств и эквивалентов денежных средств, за исключением движения между денежными средствами и эквивалентами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включает хозяйственные операции, которые приводят к изменениям в размере и составе заемных средств, а также взносы собственников и выплаты собственникам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деятельность включает хозяйственные операции, связанные с приобретением или реализацией долгосрочных активов и других инвестиций, не относящихся к эквивалентам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включает хозяйственные операции, связанные с реализацией организацией основных функций и не относящиеся к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эквивалентам денежных средств относят высоколиквидные, легко обратимые в денежные средства, без потери стоимости, ценные бумаги и депозиты со сроком погашения (возврата) менее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Термины, определенные в других СФООСГУ, используются в настоящем СФООСГУ 2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денежных потоков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о движении денежных средств должен содержать сведения о денежных потоках за отчетный период в разрезе потоков от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и порядок заполнения отчета о движении денежных средств устанавливаются в Методических рекомендациях по формированию показателей финансовой отчетности. Организация в соответствии с характером деятельности, учетной политикой организации, на основании учетных данных, утвержденных форм финансовой отчетности, Методических рекомендаций по их заполнению формирует показатели отчета о движении денежных средств, а также при необходимости раскрывает представленные в отчете о движении денежных средств статьи в примечаниях к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Операционная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потоки от операционной деятельности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в виде налогов, взносов на государственное социальное страхование, пошлин и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поступление/предоставление денежных средств в виде бюджетных и межбюджетных трансфертов, трансфертов от иностранных государств, трансфертов организациям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от реализации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в виде платы за аренду, товары, услуги, предоставляемые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прочих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субсидий, грантов, пожертвований и безвозмездные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за период операций по купле-продаже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от реализации ценных бумаг, приобретенных с целью перепродажи;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платежи поставщикам за товары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платежи работникам, в т.ч. связанные с оплатой взносов (отчислений) на социальное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пенсий, пособий по социальному страхованию,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по уплате налогов и сборов, исполнению иных обязательств по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выбытия, связанные с основной деятельностью организации и установленные в учетной политике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потоки, которые не могут быть однозначно классифицированы, относятся к денежным потокам по операционной деятельности. Информация о денежных потоках, которые не могут быть однозначно классифицированы раскрывается в учетной политике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Инвестиционная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Денежные потоки от инвестиционной деятельности представляются раздельно по указанным ниже видам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в связи с приобретением или созданием основных средств, нематериальных активов и других долгосрочных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в связи с продажей основных средств, нематериальных активов и других долгосрочных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в связи с приобретением долевых или долговых инструментов других организаций, долей участия в совместной деятельности (кроме платежей за финансовые инструменты, отнесенных к эквивалентам денежных средств, или за финансовые инструменты, предназначенные для торговли);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от продажи долевых или долговых инструментов других организаций, долей участия в совместной деятельности (кроме поступлений от финансовых инструментов, отнесенных к эквивалентам денежных средств, или от финансовых инструментов, предназначенных для торговли);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доходов по долевым или долговым инструментам других организаций и долям участия в совместной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по предоставлению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ранее предоставленных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выбытие, связанное с вложением средств в депозиты, на срок более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по возврату средств с депозитов, размещенных на срок более 3-х месяцев, доходов от размещения денежных средств на депозитах;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выбытия, относящиеся к инвестиционной деятельности и установленные в учетной политике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Финансовая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потоки от финансовой деятельности представляются раздельно по указанным ниже видам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денежных средств по государственным заимствованиям и заимствованиям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денежных средств в связи с погашением обязательств по привлеченным государственным заимствованиям и заимствованиям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обслуживания государственных заимствований и заимствований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лизинговых платежей, связанных с погашением задолженности по финансовой аренде;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по исполнению выданных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 и выплаты по привлеченным заимствованиям, включая банковские овердрафты.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потоки от следующих видов операционной, инвестиционной или финансовой деятельности могут отражаться в отчетности на нетто-основе (поступление за вычетом выплат):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поступление и выплаты денежных средств от имени клиентов, налогоплательщиков или бенефициаров, когда денежные потоки отражают деятельность клиента, а не деятельность организации;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поступление и выплаты денежных средств по статьям, характеризующимся быстрым оборотом, большими суммами и короткими сроками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Денежные потоки, возникающие в результате операций в иностранной валюте, отражаются в валюте Кыргызской Республики по официальному курсу, устанавливаемому Национальным банком Кыргызской Республики на дату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Операции, не связанные с движением денежных средств и эквивалентов денежных средств, в отчет о движении денежных средств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Организации раскрывают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компоненты денежных средств и эквивалентов денежных средств, сверку сумм, указанных в отчете о движении денежных средств, с аналогичными статьями, представленными в отчете о финансовом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суммы значительных остатков денежных средств и эквивалентов денежных средств, имеющиеся у организации на конец отчетного периода, но недоступные для использования организацией.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Первое применение настоящего СФООСГУ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при первом применении СФООСГУ 2 не должна в финансовой отчетности предоставлять сравнительную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r-1lt8gy57smrwd1u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dalil.kg/document/160159</w:t>
      </w:r>
    </w:hyperlink>
  </w:p>
  <w:p>
    <w:pPr>
      <w:spacing w:after="0" w:before="40"/>
      <w:jc w:val="center"/>
    </w:pPr>
    <w:hyperlink w:history="1" r:id="rIdjjjjyeld2slld98ukqq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ogxh0leb7k0wcqbh_fp" Type="http://schemas.openxmlformats.org/officeDocument/2006/relationships/hyperlink" Target="https://dalil.kg/document/160157" TargetMode="External"/><Relationship Id="rIdnr5uveudpvpnpdvdrwvnt" Type="http://schemas.openxmlformats.org/officeDocument/2006/relationships/hyperlink" Target="https://dalil.kg/document/111338" TargetMode="External"/><Relationship Id="rIdtaovfnwqylpfybx7tsped" Type="http://schemas.openxmlformats.org/officeDocument/2006/relationships/hyperlink" Target="https://dalil.kg/document/1032#st_1" TargetMode="External"/><Relationship Id="rId3ftqjiyu4flsjykqyj23c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r-1lt8gy57smrwd1uhe" Type="http://schemas.openxmlformats.org/officeDocument/2006/relationships/hyperlink" Target="https://dalil.kg/document/160159" TargetMode="External"/><Relationship Id="rIdjjjjyeld2slld98ukqq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2026-09-26T20:03:20.833Z</dcterms:created>
  <dcterms:modified xsi:type="dcterms:W3CDTF">2026-09-26T20:03:20.833Z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