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jc w:val="center"/>
      </w:pPr>
      <w:r>
        <w:rPr>
          <w:rFonts w:ascii="Arial" w:cs="Arial" w:eastAsia="Arial" w:hAnsi="Arial"/>
          <w:i/>
          <w:iCs/>
          <w:sz w:val="24"/>
          <w:szCs w:val="24"/>
        </w:rPr>
        <w:t xml:space="preserve">(к</w:t>
      </w:r>
      <w:hyperlink w:history="1" r:id="rIdjm6hsu-jbssdry9dqbju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13 января 2023 года № 16)</w:t>
      </w:r>
    </w:p>
    <w:p>
      <w:pPr>
        <w:spacing w:after="400" w:before="400"/>
        <w:jc w:val="center"/>
      </w:pPr>
      <w:r>
        <w:rPr>
          <w:rFonts w:ascii="Arial" w:cs="Arial" w:eastAsia="Arial" w:hAnsi="Arial"/>
          <w:b/>
          <w:bCs/>
          <w:sz w:val="28"/>
          <w:szCs w:val="28"/>
        </w:rPr>
        <w:t xml:space="preserve">Стандарт</w:t>
      </w:r>
      <w:r>
        <w:rPr>
          <w:rFonts w:ascii="Arial" w:cs="Arial" w:eastAsia="Arial" w:hAnsi="Arial"/>
          <w:b/>
          <w:bCs/>
          <w:sz w:val="28"/>
          <w:szCs w:val="28"/>
        </w:rPr>
        <w:t xml:space="preserve">
 финансовой отчетности организаций сектора государственного управления 17 "Основные средства"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Стандарт финансовой отчетности организаций сектора государственного управления 17 "Основные средства" (далее - СФООСГУ 17) разработан в соответствии с пунктом 2 </w:t>
      </w:r>
      <w:hyperlink w:history="1" r:id="rIdgcdfi2tz8npyw1_4x15ut">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Бюджетного кодекса Кыргызской Республики, пунктом 2-1 </w:t>
      </w:r>
      <w:hyperlink w:history="1" r:id="rIdhe9hc8mhtxycqpvtio4kb">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 пунктом 2 </w:t>
      </w:r>
      <w:hyperlink w:history="1" r:id="rId0ldd5zcvvnka6ybovh49u">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Кыргызской Республики "О бухгалтерском учете", с учетом требований Международных стандартов финансовой отчетности для общественного сектора 17 "Основные средства" (далее - МСФООС 17).</w:t>
      </w:r>
    </w:p>
    <w:p>
      <w:pPr>
        <w:spacing w:after="60"/>
        <w:ind w:firstLine="567"/>
        <w:jc w:val="both"/>
      </w:pPr>
      <w:r>
        <w:rPr>
          <w:rFonts w:ascii="Arial" w:cs="Arial" w:eastAsia="Arial" w:hAnsi="Arial"/>
          <w:sz w:val="24"/>
          <w:szCs w:val="24"/>
        </w:rPr>
        <w:t xml:space="preserve">2. СФООСГУ 17 обязателен к применению государственными органами, органами системы государственного социального страхования и пенсионного обеспечения, органами местного самоуправления, их подведомственными организациями, бюджетными учреждениями (далее - организация).</w:t>
      </w:r>
    </w:p>
    <w:p>
      <w:pPr>
        <w:spacing w:after="60"/>
        <w:ind w:firstLine="567"/>
        <w:jc w:val="both"/>
      </w:pPr>
      <w:r>
        <w:rPr>
          <w:rFonts w:ascii="Arial" w:cs="Arial" w:eastAsia="Arial" w:hAnsi="Arial"/>
          <w:sz w:val="24"/>
          <w:szCs w:val="24"/>
        </w:rPr>
        <w:t xml:space="preserve">3. СФООСГУ 17 устанавливает порядок признания, оценки, отражения в бухгалтерском учете и раскрытия информации об основных средствах.</w:t>
      </w:r>
    </w:p>
    <w:p>
      <w:pPr>
        <w:spacing w:after="60"/>
        <w:ind w:firstLine="567"/>
        <w:jc w:val="both"/>
      </w:pPr>
      <w:r>
        <w:rPr>
          <w:rFonts w:ascii="Arial" w:cs="Arial" w:eastAsia="Arial" w:hAnsi="Arial"/>
          <w:sz w:val="24"/>
          <w:szCs w:val="24"/>
        </w:rPr>
        <w:t xml:space="preserve">4. Настоящий СФООСГУ 17 не применяется к:</w:t>
      </w:r>
    </w:p>
    <w:p>
      <w:pPr>
        <w:spacing w:after="60"/>
        <w:ind w:firstLine="567"/>
        <w:jc w:val="both"/>
      </w:pPr>
      <w:r>
        <w:rPr>
          <w:rFonts w:ascii="Arial" w:cs="Arial" w:eastAsia="Arial" w:hAnsi="Arial"/>
          <w:sz w:val="24"/>
          <w:szCs w:val="24"/>
        </w:rPr>
        <w:t xml:space="preserve">а) биологическим активам, за исключением плодоносящих растений, а также животных и растений, не используемых в сельскохозяйственной деятельности. Биологические активы, за исключением плодоносящих растений, учитываются в соответствии с СФООСГУ 27 "Сельское хозяйство";</w:t>
      </w:r>
    </w:p>
    <w:p>
      <w:pPr>
        <w:spacing w:after="60"/>
        <w:ind w:firstLine="567"/>
        <w:jc w:val="both"/>
      </w:pPr>
      <w:r>
        <w:rPr>
          <w:rFonts w:ascii="Arial" w:cs="Arial" w:eastAsia="Arial" w:hAnsi="Arial"/>
          <w:sz w:val="24"/>
          <w:szCs w:val="24"/>
        </w:rPr>
        <w:t xml:space="preserve">б) правам на разработку полезных ископаемых и запасам полезных ископаемых, таких как нефть, природный газ и аналогичные не возобновляемые ресурсы.</w:t>
      </w:r>
    </w:p>
    <w:p>
      <w:pPr>
        <w:spacing w:after="200" w:before="200"/>
        <w:jc w:val="center"/>
      </w:pPr>
      <w:r>
        <w:rPr>
          <w:rFonts w:ascii="Arial" w:cs="Arial" w:eastAsia="Arial" w:hAnsi="Arial"/>
          <w:b/>
          <w:bCs/>
          <w:sz w:val="24"/>
          <w:szCs w:val="24"/>
        </w:rPr>
        <w:t xml:space="preserve">2. Определения</w:t>
      </w:r>
    </w:p>
    <w:p>
      <w:pPr>
        <w:spacing w:after="60"/>
        <w:ind w:firstLine="567"/>
        <w:jc w:val="both"/>
      </w:pPr>
      <w:r>
        <w:rPr>
          <w:rFonts w:ascii="Arial" w:cs="Arial" w:eastAsia="Arial" w:hAnsi="Arial"/>
          <w:sz w:val="24"/>
          <w:szCs w:val="24"/>
        </w:rPr>
        <w:t xml:space="preserve">5. В настоящем СФООСГУ 17 используются следующие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основные средства</w:t>
      </w:r>
      <w:r>
        <w:rPr>
          <w:rFonts w:ascii="Arial" w:cs="Arial" w:eastAsia="Arial" w:hAnsi="Arial"/>
          <w:sz w:val="24"/>
          <w:szCs w:val="24"/>
        </w:rPr>
        <w:t xml:space="preserve"> - материальные объекты, которые:</w:t>
      </w:r>
    </w:p>
    <w:p>
      <w:pPr>
        <w:spacing w:after="60"/>
        <w:ind w:firstLine="567"/>
        <w:jc w:val="both"/>
      </w:pPr>
      <w:r>
        <w:rPr>
          <w:rFonts w:ascii="Arial" w:cs="Arial" w:eastAsia="Arial" w:hAnsi="Arial"/>
          <w:sz w:val="24"/>
          <w:szCs w:val="24"/>
        </w:rPr>
        <w:t xml:space="preserve">а) предназначены для использования в процессе производства или поставки товаров или предоставления услуг при сдаче в аренду в административных или в иных целях в соответствии с целями деятельности организации;</w:t>
      </w:r>
    </w:p>
    <w:p>
      <w:pPr>
        <w:spacing w:after="60"/>
        <w:ind w:firstLine="567"/>
        <w:jc w:val="both"/>
      </w:pPr>
      <w:r>
        <w:rPr>
          <w:rFonts w:ascii="Arial" w:cs="Arial" w:eastAsia="Arial" w:hAnsi="Arial"/>
          <w:sz w:val="24"/>
          <w:szCs w:val="24"/>
        </w:rPr>
        <w:t xml:space="preserve">б) предполагаются к использованию в течение более чем одного отчетного периода;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класс основных средств</w:t>
      </w:r>
      <w:r>
        <w:rPr>
          <w:rFonts w:ascii="Arial" w:cs="Arial" w:eastAsia="Arial" w:hAnsi="Arial"/>
          <w:sz w:val="24"/>
          <w:szCs w:val="24"/>
        </w:rPr>
        <w:t xml:space="preserve"> - это группа основных средств, схожих по характеру или использованию в деятельности организации, и отражаемая в виде единой статьи в целях раскрытия информации в финансовой отчетности. Классами основных средств являются:</w:t>
      </w:r>
    </w:p>
    <w:p>
      <w:pPr>
        <w:spacing w:after="60"/>
        <w:ind w:firstLine="567"/>
        <w:jc w:val="both"/>
      </w:pPr>
      <w:r>
        <w:rPr>
          <w:rFonts w:ascii="Arial" w:cs="Arial" w:eastAsia="Arial" w:hAnsi="Arial"/>
          <w:sz w:val="24"/>
          <w:szCs w:val="24"/>
        </w:rPr>
        <w:t xml:space="preserve">а) земельные участки;</w:t>
      </w:r>
    </w:p>
    <w:p>
      <w:pPr>
        <w:spacing w:after="60"/>
        <w:ind w:firstLine="567"/>
        <w:jc w:val="both"/>
      </w:pPr>
      <w:r>
        <w:rPr>
          <w:rFonts w:ascii="Arial" w:cs="Arial" w:eastAsia="Arial" w:hAnsi="Arial"/>
          <w:sz w:val="24"/>
          <w:szCs w:val="24"/>
        </w:rPr>
        <w:t xml:space="preserve">б) здания, сооружения, жилые и нежилые помещения;</w:t>
      </w:r>
    </w:p>
    <w:p>
      <w:pPr>
        <w:spacing w:after="60"/>
        <w:ind w:firstLine="567"/>
        <w:jc w:val="both"/>
      </w:pPr>
      <w:r>
        <w:rPr>
          <w:rFonts w:ascii="Arial" w:cs="Arial" w:eastAsia="Arial" w:hAnsi="Arial"/>
          <w:sz w:val="24"/>
          <w:szCs w:val="24"/>
        </w:rPr>
        <w:t xml:space="preserve">в) инфраструктурные активы;</w:t>
      </w:r>
    </w:p>
    <w:p>
      <w:pPr>
        <w:spacing w:after="60"/>
        <w:ind w:firstLine="567"/>
        <w:jc w:val="both"/>
      </w:pPr>
      <w:r>
        <w:rPr>
          <w:rFonts w:ascii="Arial" w:cs="Arial" w:eastAsia="Arial" w:hAnsi="Arial"/>
          <w:sz w:val="24"/>
          <w:szCs w:val="24"/>
        </w:rPr>
        <w:t xml:space="preserve">г) машины и оборудование;</w:t>
      </w:r>
    </w:p>
    <w:p>
      <w:pPr>
        <w:spacing w:after="60"/>
        <w:ind w:firstLine="567"/>
        <w:jc w:val="both"/>
      </w:pPr>
      <w:r>
        <w:rPr>
          <w:rFonts w:ascii="Arial" w:cs="Arial" w:eastAsia="Arial" w:hAnsi="Arial"/>
          <w:sz w:val="24"/>
          <w:szCs w:val="24"/>
        </w:rPr>
        <w:t xml:space="preserve">д) биологические ресурсы;</w:t>
      </w:r>
    </w:p>
    <w:p>
      <w:pPr>
        <w:spacing w:after="60"/>
        <w:ind w:firstLine="567"/>
        <w:jc w:val="both"/>
      </w:pPr>
      <w:r>
        <w:rPr>
          <w:rFonts w:ascii="Arial" w:cs="Arial" w:eastAsia="Arial" w:hAnsi="Arial"/>
          <w:sz w:val="24"/>
          <w:szCs w:val="24"/>
        </w:rPr>
        <w:t xml:space="preserve">е) мебель, офисное оборудование, библиотечный фонд, прочий инвентарь;</w:t>
      </w:r>
    </w:p>
    <w:p>
      <w:pPr>
        <w:spacing w:after="60"/>
        <w:ind w:firstLine="567"/>
        <w:jc w:val="both"/>
      </w:pPr>
      <w:r>
        <w:rPr>
          <w:rFonts w:ascii="Arial" w:cs="Arial" w:eastAsia="Arial" w:hAnsi="Arial"/>
          <w:sz w:val="24"/>
          <w:szCs w:val="24"/>
        </w:rPr>
        <w:t xml:space="preserve">ж) военное оборудование;</w:t>
      </w:r>
    </w:p>
    <w:p>
      <w:pPr>
        <w:spacing w:after="60"/>
        <w:ind w:firstLine="567"/>
        <w:jc w:val="both"/>
      </w:pPr>
      <w:r>
        <w:rPr>
          <w:rFonts w:ascii="Arial" w:cs="Arial" w:eastAsia="Arial" w:hAnsi="Arial"/>
          <w:sz w:val="24"/>
          <w:szCs w:val="24"/>
        </w:rPr>
        <w:t xml:space="preserve">з) прочие основные средства;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балансовая стоимость основных средств</w:t>
      </w:r>
      <w:r>
        <w:rPr>
          <w:rFonts w:ascii="Arial" w:cs="Arial" w:eastAsia="Arial" w:hAnsi="Arial"/>
          <w:sz w:val="24"/>
          <w:szCs w:val="24"/>
        </w:rPr>
        <w:t xml:space="preserve"> - стоимость, по которой актив отражается в отчетности после вычета всей накопленной амортизации и накопленных убытков от обесценения;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первоначальная стоимость</w:t>
      </w:r>
      <w:r>
        <w:rPr>
          <w:rFonts w:ascii="Arial" w:cs="Arial" w:eastAsia="Arial" w:hAnsi="Arial"/>
          <w:sz w:val="24"/>
          <w:szCs w:val="24"/>
        </w:rPr>
        <w:t xml:space="preserve"> - стоимость, по которой объект основных средств признается в качестве актива и учитывается в бухгалтерском учете;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амортизируемая стоимость</w:t>
      </w:r>
      <w:r>
        <w:rPr>
          <w:rFonts w:ascii="Arial" w:cs="Arial" w:eastAsia="Arial" w:hAnsi="Arial"/>
          <w:sz w:val="24"/>
          <w:szCs w:val="24"/>
        </w:rPr>
        <w:t xml:space="preserve"> - первоначальная стоимость актива за вычетом ликвидационной стоимости;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амортизация</w:t>
      </w:r>
      <w:r>
        <w:rPr>
          <w:rFonts w:ascii="Arial" w:cs="Arial" w:eastAsia="Arial" w:hAnsi="Arial"/>
          <w:sz w:val="24"/>
          <w:szCs w:val="24"/>
        </w:rPr>
        <w:t xml:space="preserve"> - систематическое распределение амортизируемой стоимости актива на протяжении срока его полезного использования;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ликвидационная стоимость актива</w:t>
      </w:r>
      <w:r>
        <w:rPr>
          <w:rFonts w:ascii="Arial" w:cs="Arial" w:eastAsia="Arial" w:hAnsi="Arial"/>
          <w:sz w:val="24"/>
          <w:szCs w:val="24"/>
        </w:rPr>
        <w:t xml:space="preserve"> - расчетная сумма, которую организация получила бы на текущий момент от выбытия актива после вычета ожидаемых затрат на выбытие, как если бы актив уже достиг возраста и состояния, ожидаемого на конец срока полезного использования;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срок полезного использования</w:t>
      </w:r>
      <w:r>
        <w:rPr>
          <w:rFonts w:ascii="Arial" w:cs="Arial" w:eastAsia="Arial" w:hAnsi="Arial"/>
          <w:sz w:val="24"/>
          <w:szCs w:val="24"/>
        </w:rPr>
        <w:t xml:space="preserve"> - это либо:</w:t>
      </w:r>
    </w:p>
    <w:p>
      <w:pPr>
        <w:spacing w:after="60"/>
        <w:ind w:firstLine="567"/>
        <w:jc w:val="both"/>
      </w:pPr>
      <w:r>
        <w:rPr>
          <w:rFonts w:ascii="Arial" w:cs="Arial" w:eastAsia="Arial" w:hAnsi="Arial"/>
          <w:sz w:val="24"/>
          <w:szCs w:val="24"/>
        </w:rPr>
        <w:t xml:space="preserve">а) период времени, на протяжении которого ожидается, что актив будет в распоряжении организации для использования;</w:t>
      </w:r>
    </w:p>
    <w:p>
      <w:pPr>
        <w:spacing w:after="60"/>
        <w:ind w:firstLine="567"/>
        <w:jc w:val="both"/>
      </w:pPr>
      <w:r>
        <w:rPr>
          <w:rFonts w:ascii="Arial" w:cs="Arial" w:eastAsia="Arial" w:hAnsi="Arial"/>
          <w:sz w:val="24"/>
          <w:szCs w:val="24"/>
        </w:rPr>
        <w:t xml:space="preserve">б) количество единиц продукции или аналогичных единиц, которое организация ожидает получить от использования актива;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обесценение</w:t>
      </w:r>
      <w:r>
        <w:rPr>
          <w:rFonts w:ascii="Arial" w:cs="Arial" w:eastAsia="Arial" w:hAnsi="Arial"/>
          <w:sz w:val="24"/>
          <w:szCs w:val="24"/>
        </w:rPr>
        <w:t xml:space="preserve"> - потери будущих экономических выгод или возможности полезного использования актива, превышающие систематическое признание уменьшения будущих экономических выгод актива или возможности его полезного использования в результате амортизации;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плодоносящее растение</w:t>
      </w:r>
      <w:r>
        <w:rPr>
          <w:rFonts w:ascii="Arial" w:cs="Arial" w:eastAsia="Arial" w:hAnsi="Arial"/>
          <w:sz w:val="24"/>
          <w:szCs w:val="24"/>
        </w:rPr>
        <w:t xml:space="preserve"> - это живое растение, которое:</w:t>
      </w:r>
    </w:p>
    <w:p>
      <w:pPr>
        <w:spacing w:after="60"/>
        <w:ind w:firstLine="567"/>
        <w:jc w:val="both"/>
      </w:pPr>
      <w:r>
        <w:rPr>
          <w:rFonts w:ascii="Arial" w:cs="Arial" w:eastAsia="Arial" w:hAnsi="Arial"/>
          <w:sz w:val="24"/>
          <w:szCs w:val="24"/>
        </w:rPr>
        <w:t xml:space="preserve">- используется в производстве и поставке сельскохозяйственной продукции;</w:t>
      </w:r>
    </w:p>
    <w:p>
      <w:pPr>
        <w:spacing w:after="60"/>
        <w:ind w:firstLine="567"/>
        <w:jc w:val="both"/>
      </w:pPr>
      <w:r>
        <w:rPr>
          <w:rFonts w:ascii="Arial" w:cs="Arial" w:eastAsia="Arial" w:hAnsi="Arial"/>
          <w:sz w:val="24"/>
          <w:szCs w:val="24"/>
        </w:rPr>
        <w:t xml:space="preserve">- ожидается, что будет плодоносить более одного периода;</w:t>
      </w:r>
    </w:p>
    <w:p>
      <w:pPr>
        <w:spacing w:after="60"/>
        <w:ind w:firstLine="567"/>
        <w:jc w:val="both"/>
      </w:pPr>
      <w:r>
        <w:rPr>
          <w:rFonts w:ascii="Arial" w:cs="Arial" w:eastAsia="Arial" w:hAnsi="Arial"/>
          <w:sz w:val="24"/>
          <w:szCs w:val="24"/>
        </w:rPr>
        <w:t xml:space="preserve">- имеет небольшую вероятность того, что будет продано как сельскохозяйственная продукция, за исключением продажи в качестве отходов;</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активы культурного наследия</w:t>
      </w:r>
      <w:r>
        <w:rPr>
          <w:rFonts w:ascii="Arial" w:cs="Arial" w:eastAsia="Arial" w:hAnsi="Arial"/>
          <w:sz w:val="24"/>
          <w:szCs w:val="24"/>
        </w:rPr>
        <w:t xml:space="preserve"> - это активы, имеющие культурную, экологическую и историческую ценность.</w:t>
      </w:r>
    </w:p>
    <w:p>
      <w:pPr>
        <w:spacing w:after="60"/>
        <w:ind w:firstLine="567"/>
        <w:jc w:val="both"/>
      </w:pPr>
      <w:r>
        <w:rPr>
          <w:rFonts w:ascii="Arial" w:cs="Arial" w:eastAsia="Arial" w:hAnsi="Arial"/>
          <w:sz w:val="24"/>
          <w:szCs w:val="24"/>
        </w:rPr>
        <w:t xml:space="preserve">6. Термины, определенные в других СФООСГУ, используются в настоящем СФООСГУ 17 в том же значении, что и в других СФООСГУ.</w:t>
      </w:r>
    </w:p>
    <w:p>
      <w:pPr>
        <w:spacing w:after="200" w:before="200"/>
        <w:jc w:val="center"/>
      </w:pPr>
      <w:r>
        <w:rPr>
          <w:rFonts w:ascii="Arial" w:cs="Arial" w:eastAsia="Arial" w:hAnsi="Arial"/>
          <w:b/>
          <w:bCs/>
          <w:sz w:val="24"/>
          <w:szCs w:val="24"/>
        </w:rPr>
        <w:t xml:space="preserve">3. Признание</w:t>
      </w:r>
    </w:p>
    <w:p>
      <w:pPr>
        <w:spacing w:after="60"/>
        <w:ind w:firstLine="567"/>
        <w:jc w:val="both"/>
      </w:pPr>
      <w:r>
        <w:rPr>
          <w:rFonts w:ascii="Arial" w:cs="Arial" w:eastAsia="Arial" w:hAnsi="Arial"/>
          <w:sz w:val="24"/>
          <w:szCs w:val="24"/>
        </w:rPr>
        <w:t xml:space="preserve">7. Объект основных средств подлежит признанию в качестве актива только в том случае, когда:</w:t>
      </w:r>
    </w:p>
    <w:p>
      <w:pPr>
        <w:spacing w:after="60"/>
        <w:ind w:firstLine="567"/>
        <w:jc w:val="both"/>
      </w:pPr>
      <w:r>
        <w:rPr>
          <w:rFonts w:ascii="Arial" w:cs="Arial" w:eastAsia="Arial" w:hAnsi="Arial"/>
          <w:sz w:val="24"/>
          <w:szCs w:val="24"/>
        </w:rPr>
        <w:t xml:space="preserve">а) существует вероятность того, что организация получит будущие экономические выгоды или возможность полезного использования, связанные с данным объектом;</w:t>
      </w:r>
    </w:p>
    <w:p>
      <w:pPr>
        <w:spacing w:after="60"/>
        <w:ind w:firstLine="567"/>
        <w:jc w:val="both"/>
      </w:pPr>
      <w:r>
        <w:rPr>
          <w:rFonts w:ascii="Arial" w:cs="Arial" w:eastAsia="Arial" w:hAnsi="Arial"/>
          <w:sz w:val="24"/>
          <w:szCs w:val="24"/>
        </w:rPr>
        <w:t xml:space="preserve">б) первоначальную стоимость или справедливую стоимость данного объекта можно надежно оценить.</w:t>
      </w:r>
    </w:p>
    <w:p>
      <w:pPr>
        <w:spacing w:after="60"/>
        <w:ind w:firstLine="567"/>
        <w:jc w:val="both"/>
      </w:pPr>
      <w:r>
        <w:rPr>
          <w:rFonts w:ascii="Arial" w:cs="Arial" w:eastAsia="Arial" w:hAnsi="Arial"/>
          <w:sz w:val="24"/>
          <w:szCs w:val="24"/>
        </w:rPr>
        <w:t xml:space="preserve">8. Единицей бухгалтерского учета основных средств является инвентарный объект. Инвентарным объектом является объект основных средств, предназначенный для выполнения самостоятельных функций. Вспомогательное и иное оборудование, которое используется только в неразрывной связи с каким-либо объектом основных средств, учитывается в составе инвентарного объекта.</w:t>
      </w:r>
    </w:p>
    <w:p>
      <w:pPr>
        <w:spacing w:after="60"/>
        <w:ind w:firstLine="567"/>
        <w:jc w:val="both"/>
      </w:pPr>
      <w:r>
        <w:rPr>
          <w:rFonts w:ascii="Arial" w:cs="Arial" w:eastAsia="Arial" w:hAnsi="Arial"/>
          <w:sz w:val="24"/>
          <w:szCs w:val="24"/>
        </w:rPr>
        <w:t xml:space="preserve">Запасные части имеющие существенную стоимость, включая затраты по замене, включаются в балансовую стоимость объекта основных средств в момент их использования для ремонта при условии соблюдения критериев признания. Балансовая стоимость заменяемых частей подлежит прекращению признания в соответствии с положениями настоящего СФООСГУ 17 о прекращении признания.</w:t>
      </w:r>
    </w:p>
    <w:p>
      <w:pPr>
        <w:spacing w:after="60"/>
        <w:ind w:firstLine="567"/>
        <w:jc w:val="both"/>
      </w:pPr>
      <w:r>
        <w:rPr>
          <w:rFonts w:ascii="Arial" w:cs="Arial" w:eastAsia="Arial" w:hAnsi="Arial"/>
          <w:sz w:val="24"/>
          <w:szCs w:val="24"/>
        </w:rPr>
        <w:t xml:space="preserve">Существенные затраты на проведение полного технического осмотра признаются в балансовой стоимости объекта основных средств при их осуществлении. Если балансовая стоимость основного средства на момент проведения полного технического осмотра включает часть затрат на проведение предыдущего технического осмотра, то эта часть затрат подлежит списанию.</w:t>
      </w:r>
    </w:p>
    <w:p>
      <w:pPr>
        <w:spacing w:after="60"/>
        <w:ind w:firstLine="567"/>
        <w:jc w:val="both"/>
      </w:pPr>
      <w:r>
        <w:rPr>
          <w:rFonts w:ascii="Arial" w:cs="Arial" w:eastAsia="Arial" w:hAnsi="Arial"/>
          <w:sz w:val="24"/>
          <w:szCs w:val="24"/>
        </w:rPr>
        <w:t xml:space="preserve">Запасные части, не имеющие существенной стоимости, и расходные материалы, используемые для ремонта и/или технического обслуживания объектов основных средств, признаются в составе расходов отчетного периода в момент их использования.</w:t>
      </w:r>
    </w:p>
    <w:p>
      <w:pPr>
        <w:spacing w:after="60"/>
        <w:ind w:firstLine="567"/>
        <w:jc w:val="both"/>
      </w:pPr>
      <w:r>
        <w:rPr>
          <w:rFonts w:ascii="Arial" w:cs="Arial" w:eastAsia="Arial" w:hAnsi="Arial"/>
          <w:sz w:val="24"/>
          <w:szCs w:val="24"/>
        </w:rPr>
        <w:t xml:space="preserve">Объекты основных средств, индивидуальная стоимость которых не существенна, и имеющие одинаковое использование (например, библиотечные фонды, периферийные устройства, компьютерное оборудование, мебель), учитываются как один инвентарный объект.</w:t>
      </w:r>
    </w:p>
    <w:p>
      <w:pPr>
        <w:spacing w:after="60"/>
        <w:ind w:firstLine="567"/>
        <w:jc w:val="both"/>
      </w:pPr>
      <w:r>
        <w:rPr>
          <w:rFonts w:ascii="Arial" w:cs="Arial" w:eastAsia="Arial" w:hAnsi="Arial"/>
          <w:sz w:val="24"/>
          <w:szCs w:val="24"/>
        </w:rPr>
        <w:t xml:space="preserve">9. Объекты основных средств, не удовлетворяющие критериям признания, учитываются на забалансовых счетах. Информация о таких объектах основных средств раскрывается в примечаниях к финансовой отчетности.</w:t>
      </w:r>
    </w:p>
    <w:p>
      <w:pPr>
        <w:spacing w:after="60"/>
        <w:ind w:firstLine="567"/>
        <w:jc w:val="both"/>
      </w:pPr>
      <w:r>
        <w:rPr>
          <w:rFonts w:ascii="Arial" w:cs="Arial" w:eastAsia="Arial" w:hAnsi="Arial"/>
          <w:sz w:val="24"/>
          <w:szCs w:val="24"/>
        </w:rPr>
        <w:t xml:space="preserve">10. Организации ведут учет военного оборудования, удовлетворяющего определению основных средств в соответствии с настоящим СФООСГУ 17. Организация раскрывает в финансовой отчетности информацию о военном оборудовании с учетом ограничений, имеющихся в действующем законодательстве Кыргызской Республики.</w:t>
      </w:r>
    </w:p>
    <w:p>
      <w:pPr>
        <w:spacing w:after="60"/>
        <w:ind w:firstLine="567"/>
        <w:jc w:val="both"/>
      </w:pPr>
      <w:r>
        <w:rPr>
          <w:rFonts w:ascii="Arial" w:cs="Arial" w:eastAsia="Arial" w:hAnsi="Arial"/>
          <w:sz w:val="24"/>
          <w:szCs w:val="24"/>
        </w:rPr>
        <w:t xml:space="preserve">11. Активы культурного наследия, используемые для осуществления основной деятельности организации в качестве основных средств, учитываются в соответствии с настоящим СФООСГУ 17. Активы культурного наследия, находящиеся в организации и не используемые для осуществления основной деятельности организации, учитываются как ценности в соответствии с СФООСГУ 12 "Запасы".</w:t>
      </w:r>
    </w:p>
    <w:p>
      <w:pPr>
        <w:spacing w:after="60"/>
        <w:ind w:firstLine="567"/>
        <w:jc w:val="both"/>
      </w:pPr>
      <w:r>
        <w:rPr>
          <w:rFonts w:ascii="Arial" w:cs="Arial" w:eastAsia="Arial" w:hAnsi="Arial"/>
          <w:sz w:val="24"/>
          <w:szCs w:val="24"/>
        </w:rPr>
        <w:t xml:space="preserve">12. Инфраструктурными активами являются активы, которые обладают всеми из следующих характеристик:</w:t>
      </w:r>
    </w:p>
    <w:p>
      <w:pPr>
        <w:spacing w:after="60"/>
        <w:ind w:firstLine="567"/>
        <w:jc w:val="both"/>
      </w:pPr>
      <w:r>
        <w:rPr>
          <w:rFonts w:ascii="Arial" w:cs="Arial" w:eastAsia="Arial" w:hAnsi="Arial"/>
          <w:sz w:val="24"/>
          <w:szCs w:val="24"/>
        </w:rPr>
        <w:t xml:space="preserve">а) они являются неотъемлемой частью дорожной сети, сети водоснабжения, канализации и водоотведения, электроснабжения, передачи информации;</w:t>
      </w:r>
    </w:p>
    <w:p>
      <w:pPr>
        <w:spacing w:after="60"/>
        <w:ind w:firstLine="567"/>
        <w:jc w:val="both"/>
      </w:pPr>
      <w:r>
        <w:rPr>
          <w:rFonts w:ascii="Arial" w:cs="Arial" w:eastAsia="Arial" w:hAnsi="Arial"/>
          <w:sz w:val="24"/>
          <w:szCs w:val="24"/>
        </w:rPr>
        <w:t xml:space="preserve">б) они являются протяженными и недвижимыми.</w:t>
      </w:r>
    </w:p>
    <w:p>
      <w:pPr>
        <w:spacing w:after="200" w:before="200"/>
        <w:jc w:val="center"/>
      </w:pPr>
      <w:r>
        <w:rPr>
          <w:rFonts w:ascii="Arial" w:cs="Arial" w:eastAsia="Arial" w:hAnsi="Arial"/>
          <w:b/>
          <w:bCs/>
          <w:sz w:val="24"/>
          <w:szCs w:val="24"/>
        </w:rPr>
        <w:t xml:space="preserve">4. Первоначальная оценка стоимости основных средств</w:t>
      </w:r>
    </w:p>
    <w:p>
      <w:pPr>
        <w:spacing w:after="60"/>
        <w:ind w:firstLine="567"/>
        <w:jc w:val="both"/>
      </w:pPr>
      <w:r>
        <w:rPr>
          <w:rFonts w:ascii="Arial" w:cs="Arial" w:eastAsia="Arial" w:hAnsi="Arial"/>
          <w:sz w:val="24"/>
          <w:szCs w:val="24"/>
        </w:rPr>
        <w:t xml:space="preserve">13. Объект основных средств, подлежащий признанию в качестве актива, должен оцениваться по первоначальной стоимости.</w:t>
      </w:r>
    </w:p>
    <w:p>
      <w:pPr>
        <w:spacing w:after="60"/>
        <w:ind w:firstLine="567"/>
        <w:jc w:val="both"/>
      </w:pPr>
      <w:r>
        <w:rPr>
          <w:rFonts w:ascii="Arial" w:cs="Arial" w:eastAsia="Arial" w:hAnsi="Arial"/>
          <w:sz w:val="24"/>
          <w:szCs w:val="24"/>
        </w:rPr>
        <w:t xml:space="preserve">14. Первоначальная стоимость объекта основных средств включает:</w:t>
      </w:r>
    </w:p>
    <w:p>
      <w:pPr>
        <w:spacing w:after="60"/>
        <w:ind w:firstLine="567"/>
        <w:jc w:val="both"/>
      </w:pPr>
      <w:r>
        <w:rPr>
          <w:rFonts w:ascii="Arial" w:cs="Arial" w:eastAsia="Arial" w:hAnsi="Arial"/>
          <w:sz w:val="24"/>
          <w:szCs w:val="24"/>
        </w:rPr>
        <w:t xml:space="preserve">а) цену покупки, включая невозмещаемые налоги и таможенные пошлины за вычетом торговых скидок и компенсаций;</w:t>
      </w:r>
    </w:p>
    <w:p>
      <w:pPr>
        <w:spacing w:after="60"/>
        <w:ind w:firstLine="567"/>
        <w:jc w:val="both"/>
      </w:pPr>
      <w:r>
        <w:rPr>
          <w:rFonts w:ascii="Arial" w:cs="Arial" w:eastAsia="Arial" w:hAnsi="Arial"/>
          <w:sz w:val="24"/>
          <w:szCs w:val="24"/>
        </w:rPr>
        <w:t xml:space="preserve">б) прямые затраты на доставку;</w:t>
      </w:r>
    </w:p>
    <w:p>
      <w:pPr>
        <w:spacing w:after="60"/>
        <w:ind w:firstLine="567"/>
        <w:jc w:val="both"/>
      </w:pPr>
      <w:r>
        <w:rPr>
          <w:rFonts w:ascii="Arial" w:cs="Arial" w:eastAsia="Arial" w:hAnsi="Arial"/>
          <w:sz w:val="24"/>
          <w:szCs w:val="24"/>
        </w:rPr>
        <w:t xml:space="preserve">в) затраты, непосредственно связанные с созданием актива или приведением его в состояние, пригодное для использования в соответствии с целями деятельности организации, в том числе:</w:t>
      </w:r>
    </w:p>
    <w:p>
      <w:pPr>
        <w:spacing w:after="60"/>
        <w:ind w:firstLine="567"/>
        <w:jc w:val="both"/>
      </w:pPr>
      <w:r>
        <w:rPr>
          <w:rFonts w:ascii="Arial" w:cs="Arial" w:eastAsia="Arial" w:hAnsi="Arial"/>
          <w:sz w:val="24"/>
          <w:szCs w:val="24"/>
        </w:rPr>
        <w:t xml:space="preserve">- расходы на оплату труда, включая страховые взносы работников;</w:t>
      </w:r>
    </w:p>
    <w:p>
      <w:pPr>
        <w:spacing w:after="60"/>
        <w:ind w:firstLine="567"/>
        <w:jc w:val="both"/>
      </w:pPr>
      <w:r>
        <w:rPr>
          <w:rFonts w:ascii="Arial" w:cs="Arial" w:eastAsia="Arial" w:hAnsi="Arial"/>
          <w:sz w:val="24"/>
          <w:szCs w:val="24"/>
        </w:rPr>
        <w:t xml:space="preserve">- затраты на приобретение услуг и материалов;</w:t>
      </w:r>
    </w:p>
    <w:p>
      <w:pPr>
        <w:spacing w:after="60"/>
        <w:ind w:firstLine="567"/>
        <w:jc w:val="both"/>
      </w:pPr>
      <w:r>
        <w:rPr>
          <w:rFonts w:ascii="Arial" w:cs="Arial" w:eastAsia="Arial" w:hAnsi="Arial"/>
          <w:sz w:val="24"/>
          <w:szCs w:val="24"/>
        </w:rPr>
        <w:t xml:space="preserve">- затраты на подготовку участка, разгрузку, установку и монтаж;</w:t>
      </w:r>
    </w:p>
    <w:p>
      <w:pPr>
        <w:spacing w:after="60"/>
        <w:ind w:firstLine="567"/>
        <w:jc w:val="both"/>
      </w:pPr>
      <w:r>
        <w:rPr>
          <w:rFonts w:ascii="Arial" w:cs="Arial" w:eastAsia="Arial" w:hAnsi="Arial"/>
          <w:sz w:val="24"/>
          <w:szCs w:val="24"/>
        </w:rPr>
        <w:t xml:space="preserve">- затраты на проверку надлежащего функционирования объекта основных средств за вычетом доходов от продажи изделий, произведенных до момента приведения объекта основных средств в состояние, пригодное для использования;</w:t>
      </w:r>
    </w:p>
    <w:p>
      <w:pPr>
        <w:spacing w:after="60"/>
        <w:ind w:firstLine="567"/>
        <w:jc w:val="both"/>
      </w:pPr>
      <w:r>
        <w:rPr>
          <w:rFonts w:ascii="Arial" w:cs="Arial" w:eastAsia="Arial" w:hAnsi="Arial"/>
          <w:sz w:val="24"/>
          <w:szCs w:val="24"/>
        </w:rPr>
        <w:t xml:space="preserve">- затраты на информационные, консультационные, посреднические и иные профессиональные услуги, связанные с приобретением (созданием, изготовлением) объекта основных средств;</w:t>
      </w:r>
    </w:p>
    <w:p>
      <w:pPr>
        <w:spacing w:after="60"/>
        <w:ind w:firstLine="567"/>
        <w:jc w:val="both"/>
      </w:pPr>
      <w:r>
        <w:rPr>
          <w:rFonts w:ascii="Arial" w:cs="Arial" w:eastAsia="Arial" w:hAnsi="Arial"/>
          <w:sz w:val="24"/>
          <w:szCs w:val="24"/>
        </w:rPr>
        <w:t xml:space="preserve">г) предварительную оценку затрат на демонтаж и ликвидацию объекта основных средств и восстановление участка, на котором он расположен, в отношении которых у организации возникает обязательство.</w:t>
      </w:r>
    </w:p>
    <w:p>
      <w:pPr>
        <w:spacing w:after="60"/>
        <w:ind w:firstLine="567"/>
        <w:jc w:val="both"/>
      </w:pPr>
      <w:r>
        <w:rPr>
          <w:rFonts w:ascii="Arial" w:cs="Arial" w:eastAsia="Arial" w:hAnsi="Arial"/>
          <w:sz w:val="24"/>
          <w:szCs w:val="24"/>
        </w:rPr>
        <w:t xml:space="preserve">15. Затраты на выполнение обязательств по демонтажу, ликвидации объекта и восстановлению участка, на котором он расположен, возникающие на протяжении периода эксплуатации объекта, учитываются в соответствии с СФООСГУ 12 и СФООСГУ 19 "Резервы, условные обязательства и условные активы".</w:t>
      </w:r>
    </w:p>
    <w:p>
      <w:pPr>
        <w:spacing w:after="60"/>
        <w:ind w:firstLine="567"/>
        <w:jc w:val="both"/>
      </w:pPr>
      <w:r>
        <w:rPr>
          <w:rFonts w:ascii="Arial" w:cs="Arial" w:eastAsia="Arial" w:hAnsi="Arial"/>
          <w:sz w:val="24"/>
          <w:szCs w:val="24"/>
        </w:rPr>
        <w:t xml:space="preserve">16. Затраты, непосредственно не относящиеся к приобретению, созданию, приведению в состояние, пригодное для использования объекта основного средства, а также не относящиеся к затратам на демонтаж и ликвидацию как указано в подпункте (г) пункта 14, признаются расходами отчетного периода.</w:t>
      </w:r>
    </w:p>
    <w:p>
      <w:pPr>
        <w:spacing w:after="60"/>
        <w:ind w:firstLine="567"/>
        <w:jc w:val="both"/>
      </w:pPr>
      <w:r>
        <w:rPr>
          <w:rFonts w:ascii="Arial" w:cs="Arial" w:eastAsia="Arial" w:hAnsi="Arial"/>
          <w:sz w:val="24"/>
          <w:szCs w:val="24"/>
        </w:rPr>
        <w:t xml:space="preserve">17. Признание затрат в балансовой стоимости объекта основных средств прекращается, когда объект оказывается на месте назначения и в состоянии, пригодном для использования в соответствии с целями деятельности организации.</w:t>
      </w:r>
    </w:p>
    <w:p>
      <w:pPr>
        <w:spacing w:after="60"/>
        <w:ind w:firstLine="567"/>
        <w:jc w:val="both"/>
      </w:pPr>
      <w:r>
        <w:rPr>
          <w:rFonts w:ascii="Arial" w:cs="Arial" w:eastAsia="Arial" w:hAnsi="Arial"/>
          <w:sz w:val="24"/>
          <w:szCs w:val="24"/>
        </w:rPr>
        <w:t xml:space="preserve">18. Затраты, понесенные при использовании, обслуживании или последующем перемещении объекта основных средств, отражаются в составе расходов отчетного периода.</w:t>
      </w:r>
    </w:p>
    <w:p>
      <w:pPr>
        <w:spacing w:after="60"/>
        <w:ind w:firstLine="567"/>
        <w:jc w:val="both"/>
      </w:pPr>
      <w:r>
        <w:rPr>
          <w:rFonts w:ascii="Arial" w:cs="Arial" w:eastAsia="Arial" w:hAnsi="Arial"/>
          <w:sz w:val="24"/>
          <w:szCs w:val="24"/>
        </w:rPr>
        <w:t xml:space="preserve">19. Если при приобретении объекта основных средств предусмотрена отсрочка платежа, то разница между стоимостью при оплате с учетом отсрочки платежа и стоимостью при оплате без отсрочки платежа признается в качестве расходов на уплату процентов.</w:t>
      </w:r>
    </w:p>
    <w:p>
      <w:pPr>
        <w:spacing w:after="60"/>
        <w:ind w:firstLine="567"/>
        <w:jc w:val="both"/>
      </w:pPr>
      <w:r>
        <w:rPr>
          <w:rFonts w:ascii="Arial" w:cs="Arial" w:eastAsia="Arial" w:hAnsi="Arial"/>
          <w:sz w:val="24"/>
          <w:szCs w:val="24"/>
        </w:rPr>
        <w:t xml:space="preserve">20. Первоначальной стоимостью объекта основных средств, приобретенного путем обменной операции в обмен на неденежные активы, является его справедливая стоимость на дату приобретения.</w:t>
      </w:r>
    </w:p>
    <w:p>
      <w:pPr>
        <w:spacing w:after="60"/>
        <w:ind w:firstLine="567"/>
        <w:jc w:val="both"/>
      </w:pPr>
      <w:r>
        <w:rPr>
          <w:rFonts w:ascii="Arial" w:cs="Arial" w:eastAsia="Arial" w:hAnsi="Arial"/>
          <w:sz w:val="24"/>
          <w:szCs w:val="24"/>
        </w:rPr>
        <w:t xml:space="preserve">Если приобретенный объект не может быть оценен по справедливой стоимости, то оценка его первоначальной стоимости производится на основе справедливой стоимости переданного актива.</w:t>
      </w:r>
    </w:p>
    <w:p>
      <w:pPr>
        <w:spacing w:after="60"/>
        <w:ind w:firstLine="567"/>
        <w:jc w:val="both"/>
      </w:pPr>
      <w:r>
        <w:rPr>
          <w:rFonts w:ascii="Arial" w:cs="Arial" w:eastAsia="Arial" w:hAnsi="Arial"/>
          <w:sz w:val="24"/>
          <w:szCs w:val="24"/>
        </w:rPr>
        <w:t xml:space="preserve">21. Первоначальной стоимостью актива, полученного в результате необменной операции, является его справедливая стоимость на дату приобретения.</w:t>
      </w:r>
    </w:p>
    <w:p>
      <w:pPr>
        <w:spacing w:after="60"/>
        <w:ind w:firstLine="567"/>
        <w:jc w:val="both"/>
      </w:pPr>
      <w:r>
        <w:rPr>
          <w:rFonts w:ascii="Arial" w:cs="Arial" w:eastAsia="Arial" w:hAnsi="Arial"/>
          <w:sz w:val="24"/>
          <w:szCs w:val="24"/>
        </w:rPr>
        <w:t xml:space="preserve">22. Стоимость объекта основных средств, находящегося в распоряжении арендатора по договору финансовой аренды, определяется в соответствии с СФООСГУ 13.</w:t>
      </w:r>
    </w:p>
    <w:p>
      <w:pPr>
        <w:spacing w:after="200" w:before="200"/>
        <w:jc w:val="center"/>
      </w:pPr>
      <w:r>
        <w:rPr>
          <w:rFonts w:ascii="Arial" w:cs="Arial" w:eastAsia="Arial" w:hAnsi="Arial"/>
          <w:b/>
          <w:bCs/>
          <w:sz w:val="24"/>
          <w:szCs w:val="24"/>
        </w:rPr>
        <w:t xml:space="preserve">5. Последующая оценка стоимости основных средств</w:t>
      </w:r>
    </w:p>
    <w:p>
      <w:pPr>
        <w:spacing w:after="60"/>
        <w:ind w:firstLine="567"/>
        <w:jc w:val="both"/>
      </w:pPr>
      <w:r>
        <w:rPr>
          <w:rFonts w:ascii="Arial" w:cs="Arial" w:eastAsia="Arial" w:hAnsi="Arial"/>
          <w:sz w:val="24"/>
          <w:szCs w:val="24"/>
        </w:rPr>
        <w:t xml:space="preserve">23. После признания в качестве актива объект основных средств должен учитываться по первоначальной стоимости за вычетом всей накопленной амортизации и накопленных убытков от обесценения. Балансовая стоимость объекта основных средств может увеличиваться в результате ремонта, модернизации, достройки, реконструкции, иных капитальных вложений в объект основных средств.</w:t>
      </w:r>
    </w:p>
    <w:p>
      <w:pPr>
        <w:spacing w:after="200" w:before="200"/>
        <w:jc w:val="center"/>
      </w:pPr>
      <w:r>
        <w:rPr>
          <w:rFonts w:ascii="Arial" w:cs="Arial" w:eastAsia="Arial" w:hAnsi="Arial"/>
          <w:b/>
          <w:bCs/>
          <w:sz w:val="24"/>
          <w:szCs w:val="24"/>
        </w:rPr>
        <w:t xml:space="preserve">§ 1. Амортизация</w:t>
      </w:r>
    </w:p>
    <w:p>
      <w:pPr>
        <w:spacing w:after="60"/>
        <w:ind w:firstLine="567"/>
        <w:jc w:val="both"/>
      </w:pPr>
      <w:r>
        <w:rPr>
          <w:rFonts w:ascii="Arial" w:cs="Arial" w:eastAsia="Arial" w:hAnsi="Arial"/>
          <w:sz w:val="24"/>
          <w:szCs w:val="24"/>
        </w:rPr>
        <w:t xml:space="preserve">24. Амортизируемая стоимость актива систематически переносится на расходы (т.е. амортизируется) в сумме амортизационных отчислений в течение срока полезного использования актива. Сумма амортизационных отчислений за каждый период признается в составе расходов текущего периода, за исключением случаев, когда она включается в стоимость другого актива.</w:t>
      </w:r>
    </w:p>
    <w:p>
      <w:pPr>
        <w:spacing w:after="60"/>
        <w:ind w:firstLine="567"/>
        <w:jc w:val="both"/>
      </w:pPr>
      <w:r>
        <w:rPr>
          <w:rFonts w:ascii="Arial" w:cs="Arial" w:eastAsia="Arial" w:hAnsi="Arial"/>
          <w:sz w:val="24"/>
          <w:szCs w:val="24"/>
        </w:rPr>
        <w:t xml:space="preserve">25. Амортизируемая стоимость актива определяется как первоначальная стоимость актива за вычетом его ликвидационной стоимости.</w:t>
      </w:r>
    </w:p>
    <w:p>
      <w:pPr>
        <w:spacing w:after="60"/>
        <w:ind w:firstLine="567"/>
        <w:jc w:val="both"/>
      </w:pPr>
      <w:r>
        <w:rPr>
          <w:rFonts w:ascii="Arial" w:cs="Arial" w:eastAsia="Arial" w:hAnsi="Arial"/>
          <w:sz w:val="24"/>
          <w:szCs w:val="24"/>
        </w:rPr>
        <w:t xml:space="preserve">Если ликвидационная стоимость актива увеличиваться до суммы, равной или превышающей его балансовую стоимость, то амортизационные отчисления по этому активу равны нулю при условии и до тех пор, пока его ликвидационная стоимость в дальнейшем не уменьшится до суммы ниже балансовой стоимости.</w:t>
      </w:r>
    </w:p>
    <w:p>
      <w:pPr>
        <w:spacing w:after="60"/>
        <w:ind w:firstLine="567"/>
        <w:jc w:val="both"/>
      </w:pPr>
      <w:r>
        <w:rPr>
          <w:rFonts w:ascii="Arial" w:cs="Arial" w:eastAsia="Arial" w:hAnsi="Arial"/>
          <w:sz w:val="24"/>
          <w:szCs w:val="24"/>
        </w:rPr>
        <w:t xml:space="preserve">26. Срок полезного использования актива определяется с учетом:</w:t>
      </w:r>
    </w:p>
    <w:p>
      <w:pPr>
        <w:spacing w:after="60"/>
        <w:ind w:firstLine="567"/>
        <w:jc w:val="both"/>
      </w:pPr>
      <w:r>
        <w:rPr>
          <w:rFonts w:ascii="Arial" w:cs="Arial" w:eastAsia="Arial" w:hAnsi="Arial"/>
          <w:sz w:val="24"/>
          <w:szCs w:val="24"/>
        </w:rPr>
        <w:t xml:space="preserve">а) предполагаемого использования актива, с учетом ожидаемой мощности или физической производительности актива;</w:t>
      </w:r>
    </w:p>
    <w:p>
      <w:pPr>
        <w:spacing w:after="60"/>
        <w:ind w:firstLine="567"/>
        <w:jc w:val="both"/>
      </w:pPr>
      <w:r>
        <w:rPr>
          <w:rFonts w:ascii="Arial" w:cs="Arial" w:eastAsia="Arial" w:hAnsi="Arial"/>
          <w:sz w:val="24"/>
          <w:szCs w:val="24"/>
        </w:rPr>
        <w:t xml:space="preserve">б) ожидаемого физического износа, производственных факторов, таких как количество смен, в течение которых используется данный актив, программы ремонта и технического обслуживания, а также условия хранения и обслуживания актива во время простоев;</w:t>
      </w:r>
    </w:p>
    <w:p>
      <w:pPr>
        <w:spacing w:after="60"/>
        <w:ind w:firstLine="567"/>
        <w:jc w:val="both"/>
      </w:pPr>
      <w:r>
        <w:rPr>
          <w:rFonts w:ascii="Arial" w:cs="Arial" w:eastAsia="Arial" w:hAnsi="Arial"/>
          <w:sz w:val="24"/>
          <w:szCs w:val="24"/>
        </w:rPr>
        <w:t xml:space="preserve">в) технического или морального устаревания, возникающего в результате изменений или усовершенствований в производстве, или в результате изменения рыночного спроса на продукцию или услуги, производимые при помощи актива;</w:t>
      </w:r>
    </w:p>
    <w:p>
      <w:pPr>
        <w:spacing w:after="60"/>
        <w:ind w:firstLine="567"/>
        <w:jc w:val="both"/>
      </w:pPr>
      <w:r>
        <w:rPr>
          <w:rFonts w:ascii="Arial" w:cs="Arial" w:eastAsia="Arial" w:hAnsi="Arial"/>
          <w:sz w:val="24"/>
          <w:szCs w:val="24"/>
        </w:rPr>
        <w:t xml:space="preserve">г) юридических или аналогичных ограничений на использование актива.</w:t>
      </w:r>
    </w:p>
    <w:p>
      <w:pPr>
        <w:spacing w:after="60"/>
        <w:ind w:firstLine="567"/>
        <w:jc w:val="both"/>
      </w:pPr>
      <w:r>
        <w:rPr>
          <w:rFonts w:ascii="Arial" w:cs="Arial" w:eastAsia="Arial" w:hAnsi="Arial"/>
          <w:sz w:val="24"/>
          <w:szCs w:val="24"/>
        </w:rPr>
        <w:t xml:space="preserve">27. Порядок определения срока полезного использования актива устанавливается в учетной политике организации на основании положений настоящего СФООСГУ 17 и методических рекомендаций по его применению. Срок полезного использования актива не должен быть меньше рекомендованного в методических рекомендациях по применению настоящего СФООСГУ 17 срока полезного использования. Окончание срока полезного использования актива при сохранении активом возможности полезного использования исправляется как изменение оценочного значения в соответствии с СФООСГУ 3 "Учетная политика, изменения оценочных значений и ошибки". Окончание срока полезного использования актива или незначительная балансовая стоимость актива не является основанием для списания актива.</w:t>
      </w:r>
    </w:p>
    <w:p>
      <w:pPr>
        <w:spacing w:after="60"/>
        <w:ind w:firstLine="567"/>
        <w:jc w:val="both"/>
      </w:pPr>
      <w:r>
        <w:rPr>
          <w:rFonts w:ascii="Arial" w:cs="Arial" w:eastAsia="Arial" w:hAnsi="Arial"/>
          <w:sz w:val="24"/>
          <w:szCs w:val="24"/>
        </w:rPr>
        <w:t xml:space="preserve">28. Для учета текущей информации об оценках, сделанных при расчете суммы амортизации, организация пересматривает ликвидационную стоимость и срок полезного использования актива на конец каждого отчетного года. Если актив сохранил свои полезные свойства при приближении окончания срока полезного использования, то срок полезного использования актива должен быть увеличен. Изменения должны отражаться в учете как изменения в бухгалтерских оценках, в соответствии с СФООСГУ 3. Информация об изменениях срока полезного использования раскрывается в обязательном порядке в соответствии с СФООСГУ 3.</w:t>
      </w:r>
    </w:p>
    <w:p>
      <w:pPr>
        <w:spacing w:after="60"/>
        <w:ind w:firstLine="567"/>
        <w:jc w:val="both"/>
      </w:pPr>
      <w:r>
        <w:rPr>
          <w:rFonts w:ascii="Arial" w:cs="Arial" w:eastAsia="Arial" w:hAnsi="Arial"/>
          <w:sz w:val="24"/>
          <w:szCs w:val="24"/>
        </w:rPr>
        <w:t xml:space="preserve">29. Амортизация актива начинается, когда он становится пригодным для использования. Амортизация актива прекращается в момент прекращения признания актива. Амортизация не прекращается, когда актив простаивает или не используется активно, или удерживается для выбытия, за исключением случая, когда актив полностью амортизирован. Амортизация не прекращается на время обслуживания или ремонта объекта основных средств.</w:t>
      </w:r>
    </w:p>
    <w:p>
      <w:pPr>
        <w:spacing w:after="60"/>
        <w:ind w:firstLine="567"/>
        <w:jc w:val="both"/>
      </w:pPr>
      <w:r>
        <w:rPr>
          <w:rFonts w:ascii="Arial" w:cs="Arial" w:eastAsia="Arial" w:hAnsi="Arial"/>
          <w:sz w:val="24"/>
          <w:szCs w:val="24"/>
        </w:rPr>
        <w:t xml:space="preserve">30. Земельные участки и здания, которые на них находятся, отражаются в учете раздельно. Земля имеет неограниченный срок полезного использования и поэтому не амортизируется.</w:t>
      </w:r>
    </w:p>
    <w:p>
      <w:pPr>
        <w:spacing w:after="60"/>
        <w:ind w:firstLine="567"/>
        <w:jc w:val="both"/>
      </w:pPr>
      <w:r>
        <w:rPr>
          <w:rFonts w:ascii="Arial" w:cs="Arial" w:eastAsia="Arial" w:hAnsi="Arial"/>
          <w:sz w:val="24"/>
          <w:szCs w:val="24"/>
        </w:rPr>
        <w:t xml:space="preserve">31. Если первоначальная стоимость земельного участка включает затраты на демонтаж, ликвидацию объектов основных средств и восстановление участка, то эта часть стоимости земельного актива амортизируется на протяжении периода получения выгод или возможности полезного использования. Если земельный участок имеет ограниченный срок полезного использования, то он подлежит амортизации на основе линейного метода.</w:t>
      </w:r>
    </w:p>
    <w:p>
      <w:pPr>
        <w:spacing w:after="60"/>
        <w:ind w:firstLine="567"/>
        <w:jc w:val="both"/>
      </w:pPr>
      <w:r>
        <w:rPr>
          <w:rFonts w:ascii="Arial" w:cs="Arial" w:eastAsia="Arial" w:hAnsi="Arial"/>
          <w:sz w:val="24"/>
          <w:szCs w:val="24"/>
        </w:rPr>
        <w:t xml:space="preserve">32. Метод начисления амортизации должен отражать предполагаемую структуру потребления организацией будущих экономических выгод или возможности полезного использования актива. Организации, ведущие свою деятельность равномерно и непрерывно, применяют линейный метод начисления амортизации.</w:t>
      </w:r>
    </w:p>
    <w:p>
      <w:pPr>
        <w:spacing w:after="60"/>
        <w:ind w:firstLine="567"/>
        <w:jc w:val="both"/>
      </w:pPr>
      <w:r>
        <w:rPr>
          <w:rFonts w:ascii="Arial" w:cs="Arial" w:eastAsia="Arial" w:hAnsi="Arial"/>
          <w:sz w:val="24"/>
          <w:szCs w:val="24"/>
        </w:rPr>
        <w:t xml:space="preserve">33. Метод линейной амортизации заключается в начислении постоянной суммы амортизации на протяжении срока полезного использования актива, если при этом не меняется ликвидационная стоимость актива.</w:t>
      </w:r>
    </w:p>
    <w:p>
      <w:pPr>
        <w:spacing w:after="60"/>
        <w:ind w:firstLine="567"/>
        <w:jc w:val="both"/>
      </w:pPr>
      <w:r>
        <w:rPr>
          <w:rFonts w:ascii="Arial" w:cs="Arial" w:eastAsia="Arial" w:hAnsi="Arial"/>
          <w:sz w:val="24"/>
          <w:szCs w:val="24"/>
        </w:rPr>
        <w:t xml:space="preserve">34. При наличии обоснования и по согласованию с вышестоящей организацией, организация может применять отличный от линейного метод начисления амортизации.</w:t>
      </w:r>
    </w:p>
    <w:p>
      <w:pPr>
        <w:spacing w:after="60"/>
        <w:ind w:firstLine="567"/>
        <w:jc w:val="both"/>
      </w:pPr>
      <w:r>
        <w:rPr>
          <w:rFonts w:ascii="Arial" w:cs="Arial" w:eastAsia="Arial" w:hAnsi="Arial"/>
          <w:sz w:val="24"/>
          <w:szCs w:val="24"/>
        </w:rPr>
        <w:t xml:space="preserve">35. Если в предполагаемой структуре потребления будущих экономических выгод или возможности полезного использования, заключенных в активе, произошли значительные изменения, то метод начисления амортизации должен быть пересмотрен с целью отражения этих изменений. Такое изменение должно отражаться в учете как изменение в бухгалтерской оценке в соответствии с СФООСГУ 3.</w:t>
      </w:r>
    </w:p>
    <w:p>
      <w:pPr>
        <w:spacing w:after="60"/>
        <w:ind w:firstLine="567"/>
        <w:jc w:val="both"/>
      </w:pPr>
      <w:r>
        <w:rPr>
          <w:rFonts w:ascii="Arial" w:cs="Arial" w:eastAsia="Arial" w:hAnsi="Arial"/>
          <w:sz w:val="24"/>
          <w:szCs w:val="24"/>
        </w:rPr>
        <w:t xml:space="preserve">36. Организация может начислять амортизацию частей объекта основных средств раздельно. Порядок раздельного начисления амортизации должен быть определен в учетной политике организации.</w:t>
      </w:r>
    </w:p>
    <w:p>
      <w:pPr>
        <w:spacing w:after="60"/>
        <w:ind w:firstLine="567"/>
        <w:jc w:val="both"/>
      </w:pPr>
      <w:r>
        <w:rPr>
          <w:rFonts w:ascii="Arial" w:cs="Arial" w:eastAsia="Arial" w:hAnsi="Arial"/>
          <w:sz w:val="24"/>
          <w:szCs w:val="24"/>
        </w:rPr>
        <w:t xml:space="preserve">37. Компенсация от третьих сторон, связанная с тем, что объект основных средств был обесценен, утрачен или передан с потерей в его стоимости, должна включаться в состав доходов в соответствии с критериями признания.</w:t>
      </w:r>
    </w:p>
    <w:p>
      <w:pPr>
        <w:spacing w:after="200" w:before="200"/>
        <w:jc w:val="center"/>
      </w:pPr>
      <w:r>
        <w:rPr>
          <w:rFonts w:ascii="Arial" w:cs="Arial" w:eastAsia="Arial" w:hAnsi="Arial"/>
          <w:b/>
          <w:bCs/>
          <w:sz w:val="24"/>
          <w:szCs w:val="24"/>
        </w:rPr>
        <w:t xml:space="preserve">§ 2. Обесценение</w:t>
      </w:r>
    </w:p>
    <w:p>
      <w:pPr>
        <w:spacing w:after="60"/>
        <w:ind w:firstLine="567"/>
        <w:jc w:val="both"/>
      </w:pPr>
      <w:r>
        <w:rPr>
          <w:rFonts w:ascii="Arial" w:cs="Arial" w:eastAsia="Arial" w:hAnsi="Arial"/>
          <w:sz w:val="24"/>
          <w:szCs w:val="24"/>
        </w:rPr>
        <w:t xml:space="preserve">38. Обесценение объекта основных средств проводится в соответствии с СФООСГУ, регулирующими порядок обесценения активов. До принятия СФООСГУ, регулирующих порядок обесценения активов, обесценение основных средств не проводится.</w:t>
      </w:r>
    </w:p>
    <w:p>
      <w:pPr>
        <w:spacing w:after="200" w:before="200"/>
        <w:jc w:val="center"/>
      </w:pPr>
      <w:r>
        <w:rPr>
          <w:rFonts w:ascii="Arial" w:cs="Arial" w:eastAsia="Arial" w:hAnsi="Arial"/>
          <w:b/>
          <w:bCs/>
          <w:sz w:val="24"/>
          <w:szCs w:val="24"/>
        </w:rPr>
        <w:t xml:space="preserve">6. Прекращение признания</w:t>
      </w:r>
    </w:p>
    <w:p>
      <w:pPr>
        <w:spacing w:after="60"/>
        <w:ind w:firstLine="567"/>
        <w:jc w:val="both"/>
      </w:pPr>
      <w:r>
        <w:rPr>
          <w:rFonts w:ascii="Arial" w:cs="Arial" w:eastAsia="Arial" w:hAnsi="Arial"/>
          <w:sz w:val="24"/>
          <w:szCs w:val="24"/>
        </w:rPr>
        <w:t xml:space="preserve">39. Признание объекта основных средств в качестве актива прекращается:</w:t>
      </w:r>
    </w:p>
    <w:p>
      <w:pPr>
        <w:spacing w:after="60"/>
        <w:ind w:firstLine="567"/>
        <w:jc w:val="both"/>
      </w:pPr>
      <w:r>
        <w:rPr>
          <w:rFonts w:ascii="Arial" w:cs="Arial" w:eastAsia="Arial" w:hAnsi="Arial"/>
          <w:sz w:val="24"/>
          <w:szCs w:val="24"/>
        </w:rPr>
        <w:t xml:space="preserve">а) при выбытии объекта;</w:t>
      </w:r>
    </w:p>
    <w:p>
      <w:pPr>
        <w:spacing w:after="60"/>
        <w:ind w:firstLine="567"/>
        <w:jc w:val="both"/>
      </w:pPr>
      <w:r>
        <w:rPr>
          <w:rFonts w:ascii="Arial" w:cs="Arial" w:eastAsia="Arial" w:hAnsi="Arial"/>
          <w:sz w:val="24"/>
          <w:szCs w:val="24"/>
        </w:rPr>
        <w:t xml:space="preserve">б) когда от использования или выбытия объекта не ожидается будущих экономических выгод или возможности полезного использования.</w:t>
      </w:r>
    </w:p>
    <w:p>
      <w:pPr>
        <w:spacing w:after="60"/>
        <w:ind w:firstLine="567"/>
        <w:jc w:val="both"/>
      </w:pPr>
      <w:r>
        <w:rPr>
          <w:rFonts w:ascii="Arial" w:cs="Arial" w:eastAsia="Arial" w:hAnsi="Arial"/>
          <w:sz w:val="24"/>
          <w:szCs w:val="24"/>
        </w:rPr>
        <w:t xml:space="preserve">40. Прибыль или убыток, возникающих при списании объекта основных средств, включаются в состав прочих доходов или расходов при списании объекта.</w:t>
      </w:r>
    </w:p>
    <w:p>
      <w:pPr>
        <w:spacing w:after="60"/>
        <w:ind w:firstLine="567"/>
        <w:jc w:val="both"/>
      </w:pPr>
      <w:r>
        <w:rPr>
          <w:rFonts w:ascii="Arial" w:cs="Arial" w:eastAsia="Arial" w:hAnsi="Arial"/>
          <w:sz w:val="24"/>
          <w:szCs w:val="24"/>
        </w:rPr>
        <w:t xml:space="preserve">41. Если организация в ходе своей обычной деятельности регулярно продает объекты основных средств, ранее предоставлявшиеся в аренду другим сторонам, то она должна перевести такие объекты основных средств в запасы по балансовой стоимости, когда они перестают использоваться для целей аренды и предназначаются для продажи. Поступления от продажи запасов должны признаваться как выручка.</w:t>
      </w:r>
    </w:p>
    <w:p>
      <w:pPr>
        <w:spacing w:after="60"/>
        <w:ind w:firstLine="567"/>
        <w:jc w:val="both"/>
      </w:pPr>
      <w:r>
        <w:rPr>
          <w:rFonts w:ascii="Arial" w:cs="Arial" w:eastAsia="Arial" w:hAnsi="Arial"/>
          <w:sz w:val="24"/>
          <w:szCs w:val="24"/>
        </w:rPr>
        <w:t xml:space="preserve">42. При прекращении признания объекта основных средств прекращается признание включенных в него частей, в т.ч. затрат на техническое обслуживание и ремонт.</w:t>
      </w:r>
    </w:p>
    <w:p>
      <w:pPr>
        <w:spacing w:after="60"/>
        <w:ind w:firstLine="567"/>
        <w:jc w:val="both"/>
      </w:pPr>
      <w:r>
        <w:rPr>
          <w:rFonts w:ascii="Arial" w:cs="Arial" w:eastAsia="Arial" w:hAnsi="Arial"/>
          <w:sz w:val="24"/>
          <w:szCs w:val="24"/>
        </w:rPr>
        <w:t xml:space="preserve">43. Прибыль или убыток, возникающих при списании объекта основных средств, определяются как разница между чистыми поступлениями от выбытия, если таковые имеются, и балансовой стоимостью объекта.</w:t>
      </w:r>
    </w:p>
    <w:p>
      <w:pPr>
        <w:spacing w:after="60"/>
        <w:ind w:firstLine="567"/>
        <w:jc w:val="both"/>
      </w:pPr>
      <w:r>
        <w:rPr>
          <w:rFonts w:ascii="Arial" w:cs="Arial" w:eastAsia="Arial" w:hAnsi="Arial"/>
          <w:sz w:val="24"/>
          <w:szCs w:val="24"/>
        </w:rPr>
        <w:t xml:space="preserve">44. Вознаграждение, причитающееся к получению при выбытии объекта основных средств, подлежит первоначальному признанию по справедливой стоимости. В случае отсрочки платежа, относящегося к объекту основных средств, полученное вознаграждение первоначально признается в сумме, рассчитанной без учета отсрочки платежа. Разница суммы с учетом рассрочки и без учета рассрочки платежа, признается как процентный доход.</w:t>
      </w:r>
    </w:p>
    <w:p>
      <w:pPr>
        <w:spacing w:after="200" w:before="200"/>
        <w:jc w:val="center"/>
      </w:pPr>
      <w:r>
        <w:rPr>
          <w:rFonts w:ascii="Arial" w:cs="Arial" w:eastAsia="Arial" w:hAnsi="Arial"/>
          <w:b/>
          <w:bCs/>
          <w:sz w:val="24"/>
          <w:szCs w:val="24"/>
        </w:rPr>
        <w:t xml:space="preserve">7. Раскрытие информации</w:t>
      </w:r>
    </w:p>
    <w:p>
      <w:pPr>
        <w:spacing w:after="60"/>
        <w:ind w:firstLine="567"/>
        <w:jc w:val="both"/>
      </w:pPr>
      <w:r>
        <w:rPr>
          <w:rFonts w:ascii="Arial" w:cs="Arial" w:eastAsia="Arial" w:hAnsi="Arial"/>
          <w:sz w:val="24"/>
          <w:szCs w:val="24"/>
        </w:rPr>
        <w:t xml:space="preserve">45. По каждому классу основных средств, признаваемому в финансовой отчетности, должна раскрываться следующая информация:</w:t>
      </w:r>
    </w:p>
    <w:p>
      <w:pPr>
        <w:spacing w:after="60"/>
        <w:ind w:firstLine="567"/>
        <w:jc w:val="both"/>
      </w:pPr>
      <w:r>
        <w:rPr>
          <w:rFonts w:ascii="Arial" w:cs="Arial" w:eastAsia="Arial" w:hAnsi="Arial"/>
          <w:sz w:val="24"/>
          <w:szCs w:val="24"/>
        </w:rPr>
        <w:t xml:space="preserve">а) используемый метод начисления амортизации;</w:t>
      </w:r>
    </w:p>
    <w:p>
      <w:pPr>
        <w:spacing w:after="60"/>
        <w:ind w:firstLine="567"/>
        <w:jc w:val="both"/>
      </w:pPr>
      <w:r>
        <w:rPr>
          <w:rFonts w:ascii="Arial" w:cs="Arial" w:eastAsia="Arial" w:hAnsi="Arial"/>
          <w:sz w:val="24"/>
          <w:szCs w:val="24"/>
        </w:rPr>
        <w:t xml:space="preserve">б) используемые сроки полезного использования или нормы амортизации;</w:t>
      </w:r>
    </w:p>
    <w:p>
      <w:pPr>
        <w:spacing w:after="60"/>
        <w:ind w:firstLine="567"/>
        <w:jc w:val="both"/>
      </w:pPr>
      <w:r>
        <w:rPr>
          <w:rFonts w:ascii="Arial" w:cs="Arial" w:eastAsia="Arial" w:hAnsi="Arial"/>
          <w:sz w:val="24"/>
          <w:szCs w:val="24"/>
        </w:rPr>
        <w:t xml:space="preserve">в) полная балансовая стоимость и накопленная амортизация (в совокупности с накопленными убытками от обесценения) на начало и на конец отчетного периода;</w:t>
      </w:r>
    </w:p>
    <w:p>
      <w:pPr>
        <w:spacing w:after="60"/>
        <w:ind w:firstLine="567"/>
        <w:jc w:val="both"/>
      </w:pPr>
      <w:r>
        <w:rPr>
          <w:rFonts w:ascii="Arial" w:cs="Arial" w:eastAsia="Arial" w:hAnsi="Arial"/>
          <w:sz w:val="24"/>
          <w:szCs w:val="24"/>
        </w:rPr>
        <w:t xml:space="preserve">г) сверка балансовой стоимости на начало и конец отчетного периода, отражающая:</w:t>
      </w:r>
    </w:p>
    <w:p>
      <w:pPr>
        <w:spacing w:after="60"/>
        <w:ind w:firstLine="567"/>
        <w:jc w:val="both"/>
      </w:pPr>
      <w:r>
        <w:rPr>
          <w:rFonts w:ascii="Arial" w:cs="Arial" w:eastAsia="Arial" w:hAnsi="Arial"/>
          <w:sz w:val="24"/>
          <w:szCs w:val="24"/>
        </w:rPr>
        <w:t xml:space="preserve">- поступления;</w:t>
      </w:r>
    </w:p>
    <w:p>
      <w:pPr>
        <w:spacing w:after="60"/>
        <w:ind w:firstLine="567"/>
        <w:jc w:val="both"/>
      </w:pPr>
      <w:r>
        <w:rPr>
          <w:rFonts w:ascii="Arial" w:cs="Arial" w:eastAsia="Arial" w:hAnsi="Arial"/>
          <w:sz w:val="24"/>
          <w:szCs w:val="24"/>
        </w:rPr>
        <w:t xml:space="preserve">- выбытия;</w:t>
      </w:r>
    </w:p>
    <w:p>
      <w:pPr>
        <w:spacing w:after="60"/>
        <w:ind w:firstLine="567"/>
        <w:jc w:val="both"/>
      </w:pPr>
      <w:r>
        <w:rPr>
          <w:rFonts w:ascii="Arial" w:cs="Arial" w:eastAsia="Arial" w:hAnsi="Arial"/>
          <w:sz w:val="24"/>
          <w:szCs w:val="24"/>
        </w:rPr>
        <w:t xml:space="preserve">- приобретения при объединениях в государственном секторе;</w:t>
      </w:r>
    </w:p>
    <w:p>
      <w:pPr>
        <w:spacing w:after="60"/>
        <w:ind w:firstLine="567"/>
        <w:jc w:val="both"/>
      </w:pPr>
      <w:r>
        <w:rPr>
          <w:rFonts w:ascii="Arial" w:cs="Arial" w:eastAsia="Arial" w:hAnsi="Arial"/>
          <w:sz w:val="24"/>
          <w:szCs w:val="24"/>
        </w:rPr>
        <w:t xml:space="preserve">- изменение стоимости в результате убытков от обесценения, отраженных или восстановленных непосредственно в составе чистых активов в соответствии с СФООСГУ, определяющим порядок обесценения активов;</w:t>
      </w:r>
    </w:p>
    <w:p>
      <w:pPr>
        <w:spacing w:after="60"/>
        <w:ind w:firstLine="567"/>
        <w:jc w:val="both"/>
      </w:pPr>
      <w:r>
        <w:rPr>
          <w:rFonts w:ascii="Arial" w:cs="Arial" w:eastAsia="Arial" w:hAnsi="Arial"/>
          <w:sz w:val="24"/>
          <w:szCs w:val="24"/>
        </w:rPr>
        <w:t xml:space="preserve">- убытки от обесценения, признанные в составе прочих доходов и расходов в соответствии с СФООСГУ, определяющим порядок обесценения активов;</w:t>
      </w:r>
    </w:p>
    <w:p>
      <w:pPr>
        <w:spacing w:after="60"/>
        <w:ind w:firstLine="567"/>
        <w:jc w:val="both"/>
      </w:pPr>
      <w:r>
        <w:rPr>
          <w:rFonts w:ascii="Arial" w:cs="Arial" w:eastAsia="Arial" w:hAnsi="Arial"/>
          <w:sz w:val="24"/>
          <w:szCs w:val="24"/>
        </w:rPr>
        <w:t xml:space="preserve">- убытки от обесценения, восстановленные в составе прочих доходов и расходов в соответствии с СФООСГУ, определяющим порядок обесценения активов;</w:t>
      </w:r>
    </w:p>
    <w:p>
      <w:pPr>
        <w:spacing w:after="60"/>
        <w:ind w:firstLine="567"/>
        <w:jc w:val="both"/>
      </w:pPr>
      <w:r>
        <w:rPr>
          <w:rFonts w:ascii="Arial" w:cs="Arial" w:eastAsia="Arial" w:hAnsi="Arial"/>
          <w:sz w:val="24"/>
          <w:szCs w:val="24"/>
        </w:rPr>
        <w:t xml:space="preserve">- амортизацию, признанную в течение отчетного периода;</w:t>
      </w:r>
    </w:p>
    <w:p>
      <w:pPr>
        <w:spacing w:after="60"/>
        <w:ind w:firstLine="567"/>
        <w:jc w:val="both"/>
      </w:pPr>
      <w:r>
        <w:rPr>
          <w:rFonts w:ascii="Arial" w:cs="Arial" w:eastAsia="Arial" w:hAnsi="Arial"/>
          <w:sz w:val="24"/>
          <w:szCs w:val="24"/>
        </w:rPr>
        <w:t xml:space="preserve">- чистые курсовые разницы, возникающие при пересчете показателей финансовой отчетности и при пересчете операций организации, совершенных в иностранной валюте;</w:t>
      </w:r>
    </w:p>
    <w:p>
      <w:pPr>
        <w:spacing w:after="60"/>
        <w:ind w:firstLine="567"/>
        <w:jc w:val="both"/>
      </w:pPr>
      <w:r>
        <w:rPr>
          <w:rFonts w:ascii="Arial" w:cs="Arial" w:eastAsia="Arial" w:hAnsi="Arial"/>
          <w:sz w:val="24"/>
          <w:szCs w:val="24"/>
        </w:rPr>
        <w:t xml:space="preserve">- прочие изменения.</w:t>
      </w:r>
    </w:p>
    <w:p>
      <w:pPr>
        <w:spacing w:after="60"/>
        <w:ind w:firstLine="567"/>
        <w:jc w:val="both"/>
      </w:pPr>
      <w:r>
        <w:rPr>
          <w:rFonts w:ascii="Arial" w:cs="Arial" w:eastAsia="Arial" w:hAnsi="Arial"/>
          <w:sz w:val="24"/>
          <w:szCs w:val="24"/>
        </w:rPr>
        <w:t xml:space="preserve">46. Финансовая отчетность также должна раскрывать для каждого класса основных средств, признанного в отчетности:</w:t>
      </w:r>
    </w:p>
    <w:p>
      <w:pPr>
        <w:spacing w:after="60"/>
        <w:ind w:firstLine="567"/>
        <w:jc w:val="both"/>
      </w:pPr>
      <w:r>
        <w:rPr>
          <w:rFonts w:ascii="Arial" w:cs="Arial" w:eastAsia="Arial" w:hAnsi="Arial"/>
          <w:sz w:val="24"/>
          <w:szCs w:val="24"/>
        </w:rPr>
        <w:t xml:space="preserve">а) наличие и суммы ограничений прав собственности, если основные средства заложены в качестве обеспечения исполнения обязательств;</w:t>
      </w:r>
    </w:p>
    <w:p>
      <w:pPr>
        <w:spacing w:after="60"/>
        <w:ind w:firstLine="567"/>
        <w:jc w:val="both"/>
      </w:pPr>
      <w:r>
        <w:rPr>
          <w:rFonts w:ascii="Arial" w:cs="Arial" w:eastAsia="Arial" w:hAnsi="Arial"/>
          <w:sz w:val="24"/>
          <w:szCs w:val="24"/>
        </w:rPr>
        <w:t xml:space="preserve">б) сумму затрат, включенных в балансовую стоимость объекта основных средств, в ходе его создания;</w:t>
      </w:r>
    </w:p>
    <w:p>
      <w:pPr>
        <w:spacing w:after="60"/>
        <w:ind w:firstLine="567"/>
        <w:jc w:val="both"/>
      </w:pPr>
      <w:r>
        <w:rPr>
          <w:rFonts w:ascii="Arial" w:cs="Arial" w:eastAsia="Arial" w:hAnsi="Arial"/>
          <w:sz w:val="24"/>
          <w:szCs w:val="24"/>
        </w:rPr>
        <w:t xml:space="preserve">в) сумму договорных обязательств по приобретению основных средств;</w:t>
      </w:r>
    </w:p>
    <w:p>
      <w:pPr>
        <w:spacing w:after="60"/>
        <w:ind w:firstLine="567"/>
        <w:jc w:val="both"/>
      </w:pPr>
      <w:r>
        <w:rPr>
          <w:rFonts w:ascii="Arial" w:cs="Arial" w:eastAsia="Arial" w:hAnsi="Arial"/>
          <w:sz w:val="24"/>
          <w:szCs w:val="24"/>
        </w:rPr>
        <w:t xml:space="preserve">г) сумму компенсации, причитающуюся от третьих сторон, связанную с тем, что объект основных средств был обесценен, утрачен или передан с потерей стоимости, включенную в состав прочих доходов и расходов.</w:t>
      </w:r>
    </w:p>
    <w:p>
      <w:pPr>
        <w:spacing w:after="60"/>
        <w:ind w:firstLine="567"/>
        <w:jc w:val="both"/>
      </w:pPr>
      <w:r>
        <w:rPr>
          <w:rFonts w:ascii="Arial" w:cs="Arial" w:eastAsia="Arial" w:hAnsi="Arial"/>
          <w:sz w:val="24"/>
          <w:szCs w:val="24"/>
        </w:rPr>
        <w:t xml:space="preserve">47. При наличии изменений в оценках организация раскрывает характер и последствия таких изменений относящиеся к:</w:t>
      </w:r>
    </w:p>
    <w:p>
      <w:pPr>
        <w:spacing w:after="60"/>
        <w:ind w:firstLine="567"/>
        <w:jc w:val="both"/>
      </w:pPr>
      <w:r>
        <w:rPr>
          <w:rFonts w:ascii="Arial" w:cs="Arial" w:eastAsia="Arial" w:hAnsi="Arial"/>
          <w:sz w:val="24"/>
          <w:szCs w:val="24"/>
        </w:rPr>
        <w:t xml:space="preserve">а) ликвидационной стоимости;</w:t>
      </w:r>
    </w:p>
    <w:p>
      <w:pPr>
        <w:spacing w:after="60"/>
        <w:ind w:firstLine="567"/>
        <w:jc w:val="both"/>
      </w:pPr>
      <w:r>
        <w:rPr>
          <w:rFonts w:ascii="Arial" w:cs="Arial" w:eastAsia="Arial" w:hAnsi="Arial"/>
          <w:sz w:val="24"/>
          <w:szCs w:val="24"/>
        </w:rPr>
        <w:t xml:space="preserve">б) оценке затрат на демонтаж, ликвидацию или восстановление объектов основных средств;</w:t>
      </w:r>
    </w:p>
    <w:p>
      <w:pPr>
        <w:spacing w:after="60"/>
        <w:ind w:firstLine="567"/>
        <w:jc w:val="both"/>
      </w:pPr>
      <w:r>
        <w:rPr>
          <w:rFonts w:ascii="Arial" w:cs="Arial" w:eastAsia="Arial" w:hAnsi="Arial"/>
          <w:sz w:val="24"/>
          <w:szCs w:val="24"/>
        </w:rPr>
        <w:t xml:space="preserve">в) срокам полезного использования;</w:t>
      </w:r>
    </w:p>
    <w:p>
      <w:pPr>
        <w:spacing w:after="60"/>
        <w:ind w:firstLine="567"/>
        <w:jc w:val="both"/>
      </w:pPr>
      <w:r>
        <w:rPr>
          <w:rFonts w:ascii="Arial" w:cs="Arial" w:eastAsia="Arial" w:hAnsi="Arial"/>
          <w:sz w:val="24"/>
          <w:szCs w:val="24"/>
        </w:rPr>
        <w:t xml:space="preserve">г) методам начисления амортизации.</w:t>
      </w:r>
    </w:p>
    <w:p>
      <w:pPr>
        <w:spacing w:after="60"/>
        <w:ind w:firstLine="567"/>
        <w:jc w:val="both"/>
      </w:pPr>
      <w:r>
        <w:rPr>
          <w:rFonts w:ascii="Arial" w:cs="Arial" w:eastAsia="Arial" w:hAnsi="Arial"/>
          <w:sz w:val="24"/>
          <w:szCs w:val="24"/>
        </w:rPr>
        <w:t xml:space="preserve">48. Организация раскрывает информацию о:</w:t>
      </w:r>
    </w:p>
    <w:p>
      <w:pPr>
        <w:spacing w:after="60"/>
        <w:ind w:firstLine="567"/>
        <w:jc w:val="both"/>
      </w:pPr>
      <w:r>
        <w:rPr>
          <w:rFonts w:ascii="Arial" w:cs="Arial" w:eastAsia="Arial" w:hAnsi="Arial"/>
          <w:sz w:val="24"/>
          <w:szCs w:val="24"/>
        </w:rPr>
        <w:t xml:space="preserve">а) балансовой стоимости временно простаивающих основных средств;</w:t>
      </w:r>
    </w:p>
    <w:p>
      <w:pPr>
        <w:spacing w:after="60"/>
        <w:ind w:firstLine="567"/>
        <w:jc w:val="both"/>
      </w:pPr>
      <w:r>
        <w:rPr>
          <w:rFonts w:ascii="Arial" w:cs="Arial" w:eastAsia="Arial" w:hAnsi="Arial"/>
          <w:sz w:val="24"/>
          <w:szCs w:val="24"/>
        </w:rPr>
        <w:t xml:space="preserve">б) оставшемся сроке полезного использования полностью амортизированных основных средств;</w:t>
      </w:r>
    </w:p>
    <w:p>
      <w:pPr>
        <w:spacing w:after="60"/>
        <w:ind w:firstLine="567"/>
        <w:jc w:val="both"/>
      </w:pPr>
      <w:r>
        <w:rPr>
          <w:rFonts w:ascii="Arial" w:cs="Arial" w:eastAsia="Arial" w:hAnsi="Arial"/>
          <w:sz w:val="24"/>
          <w:szCs w:val="24"/>
        </w:rPr>
        <w:t xml:space="preserve">в) балансовой стоимости основных средств, изъятых из активной эксплуатации и удерживаемых до выбытия;</w:t>
      </w:r>
    </w:p>
    <w:p>
      <w:pPr>
        <w:spacing w:after="60"/>
        <w:ind w:firstLine="567"/>
        <w:jc w:val="both"/>
      </w:pPr>
      <w:r>
        <w:rPr>
          <w:rFonts w:ascii="Arial" w:cs="Arial" w:eastAsia="Arial" w:hAnsi="Arial"/>
          <w:sz w:val="24"/>
          <w:szCs w:val="24"/>
        </w:rPr>
        <w:t xml:space="preserve">г) справедливой стоимости основных средств, если она существенно отличается от балансовой стоимости и данные о справедливой стоимости доступные для организации.</w:t>
      </w:r>
    </w:p>
    <w:p>
      <w:pPr>
        <w:spacing w:after="200" w:before="200"/>
        <w:jc w:val="center"/>
      </w:pPr>
      <w:r>
        <w:rPr>
          <w:rFonts w:ascii="Arial" w:cs="Arial" w:eastAsia="Arial" w:hAnsi="Arial"/>
          <w:b/>
          <w:bCs/>
          <w:sz w:val="24"/>
          <w:szCs w:val="24"/>
        </w:rPr>
        <w:t xml:space="preserve">8. Первое применение настоящего СФООСГУ 17</w:t>
      </w:r>
    </w:p>
    <w:p>
      <w:pPr>
        <w:spacing w:after="60"/>
        <w:ind w:firstLine="567"/>
        <w:jc w:val="both"/>
      </w:pPr>
      <w:r>
        <w:rPr>
          <w:rFonts w:ascii="Arial" w:cs="Arial" w:eastAsia="Arial" w:hAnsi="Arial"/>
          <w:sz w:val="24"/>
          <w:szCs w:val="24"/>
        </w:rPr>
        <w:t xml:space="preserve">49. При первом применении настоящего СФООСГУ 17 имеющиеся основные средства оцениваются по балансовой стоимости. Начисление амортизации осуществляется в соответствии с принятыми нормами начисления амортизации.</w:t>
      </w:r>
    </w:p>
    <w:p>
      <w:pPr>
        <w:spacing w:after="60"/>
        <w:ind w:firstLine="567"/>
        <w:jc w:val="both"/>
      </w:pPr>
      <w:r>
        <w:rPr>
          <w:rFonts w:ascii="Arial" w:cs="Arial" w:eastAsia="Arial" w:hAnsi="Arial"/>
          <w:sz w:val="24"/>
          <w:szCs w:val="24"/>
        </w:rPr>
        <w:t xml:space="preserve">50. Сравнительная информация при первом применении настоящего СФООСГУ 17 не представляется.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tab1cye1kdtflvvbz_">
      <w:r>
        <w:rPr>
          <w:rFonts w:ascii="Arial" w:cs="Arial" w:eastAsia="Arial" w:hAnsi="Arial"/>
          <w:color w:val="132D3F"/>
          <w:sz w:val="16"/>
          <w:szCs w:val="16"/>
          <w:u w:val="single"/>
        </w:rPr>
        <w:t xml:space="preserve">dalil.kg/document/160165</w:t>
      </w:r>
    </w:hyperlink>
  </w:p>
  <w:p>
    <w:pPr>
      <w:spacing w:after="0" w:before="40"/>
      <w:jc w:val="center"/>
    </w:pPr>
    <w:hyperlink w:history="1" r:id="rIds0hou9vlhn0u42y45g2c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m6hsu-jbssdry9dqbjuq" Type="http://schemas.openxmlformats.org/officeDocument/2006/relationships/hyperlink" Target="https://dalil.kg/document/160157" TargetMode="External"/><Relationship Id="rIdgcdfi2tz8npyw1_4x15ut" Type="http://schemas.openxmlformats.org/officeDocument/2006/relationships/hyperlink" Target="https://dalil.kg/document/111338#st_119" TargetMode="External"/><Relationship Id="rIdhe9hc8mhtxycqpvtio4kb" Type="http://schemas.openxmlformats.org/officeDocument/2006/relationships/hyperlink" Target="https://dalil.kg/document/1032#st_1" TargetMode="External"/><Relationship Id="rId0ldd5zcvvnka6ybovh49u" Type="http://schemas.openxmlformats.org/officeDocument/2006/relationships/hyperlink" Target="https://dalil.kg/document/1032#st_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tab1cye1kdtflvvbz_" Type="http://schemas.openxmlformats.org/officeDocument/2006/relationships/hyperlink" Target="https://dalil.kg/document/160165" TargetMode="External"/><Relationship Id="rIds0hou9vlhn0u42y45g2c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2026-09-26T19:59:22.277Z</dcterms:created>
  <dcterms:modified xsi:type="dcterms:W3CDTF">2026-09-26T19:59:22.277Z</dcterms:modified>
</cp:coreProperties>
</file>

<file path=docProps/custom.xml><?xml version="1.0" encoding="utf-8"?>
<Properties xmlns="http://schemas.openxmlformats.org/officeDocument/2006/custom-properties" xmlns:vt="http://schemas.openxmlformats.org/officeDocument/2006/docPropsVTypes"/>
</file>