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29</w:t>
      </w:r>
      <w:r>
        <w:rPr>
          <w:rFonts w:ascii="Arial" w:cs="Arial" w:eastAsia="Arial" w:hAnsi="Arial"/>
          <w:sz w:val="24"/>
          <w:szCs w:val="24"/>
        </w:rPr>
        <w:t xml:space="preserve"> мая</w:t>
      </w:r>
      <w:r>
        <w:rPr>
          <w:rFonts w:ascii="Arial" w:cs="Arial" w:eastAsia="Arial" w:hAnsi="Arial"/>
          <w:sz w:val="24"/>
          <w:szCs w:val="24"/>
        </w:rPr>
        <w:t xml:space="preserve"> 2023 года № 280</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 мерах по реализации требований статей 99, 100, 120, 125, 302 и 324 Налогового кодекса Кыргызской Республики" от 22 февраля 2022 года № 93</w:t>
      </w:r>
    </w:p>
    <w:p>
      <w:pPr>
        <w:spacing w:after="120"/>
        <w:jc w:val="both"/>
      </w:pPr>
      <w:r>
        <w:rPr>
          <w:rFonts w:ascii="Arial" w:cs="Arial" w:eastAsia="Arial" w:hAnsi="Arial"/>
          <w:sz w:val="24"/>
          <w:szCs w:val="24"/>
        </w:rPr>
        <w:t xml:space="preserve">В целях реализации статей </w:t>
      </w:r>
      <w:hyperlink w:history="1" r:id="rIdyuukhf0o7qusvb7kpxrzi">
        <w:r>
          <w:rPr>
            <w:rFonts w:ascii="Arial" w:cs="Arial" w:eastAsia="Arial" w:hAnsi="Arial"/>
            <w:color w:val="1D4ED8"/>
            <w:sz w:val="24"/>
            <w:szCs w:val="24"/>
            <w:u w:val="single"/>
          </w:rPr>
          <w:t xml:space="preserve">61</w:t>
        </w:r>
      </w:hyperlink>
      <w:r>
        <w:rPr>
          <w:rFonts w:ascii="Arial" w:cs="Arial" w:eastAsia="Arial" w:hAnsi="Arial"/>
          <w:sz w:val="24"/>
          <w:szCs w:val="24"/>
        </w:rPr>
        <w:t xml:space="preserve">, </w:t>
      </w:r>
      <w:hyperlink w:history="1" r:id="rId7rr6wtprswzx4_b3gocwg">
        <w:r>
          <w:rPr>
            <w:rFonts w:ascii="Arial" w:cs="Arial" w:eastAsia="Arial" w:hAnsi="Arial"/>
            <w:color w:val="1D4ED8"/>
            <w:sz w:val="24"/>
            <w:szCs w:val="24"/>
            <w:u w:val="single"/>
          </w:rPr>
          <w:t xml:space="preserve">324</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4eru_abaz7z0ryncxs0x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yc6krdsshyhbtu1qok3o">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mn6nw7oqrtslc613kfnt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w:t>
      </w:r>
      <w:hyperlink w:history="1" r:id="rIdnnvhcw5nekrrnjcvc6mid">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kkkt_kgckcelmciigmjs6">
        <w:r>
          <w:rPr>
            <w:rFonts w:ascii="Arial" w:cs="Arial" w:eastAsia="Arial" w:hAnsi="Arial"/>
            <w:color w:val="1D4ED8"/>
            <w:sz w:val="24"/>
            <w:szCs w:val="24"/>
            <w:u w:val="single"/>
          </w:rPr>
          <w:t xml:space="preserve">100</w:t>
        </w:r>
      </w:hyperlink>
      <w:r>
        <w:rPr>
          <w:rFonts w:ascii="Arial" w:cs="Arial" w:eastAsia="Arial" w:hAnsi="Arial"/>
          <w:sz w:val="24"/>
          <w:szCs w:val="24"/>
        </w:rPr>
        <w:t xml:space="preserve">, </w:t>
      </w:r>
      <w:hyperlink w:history="1" r:id="rIdrbm4jhxpmnn7dhuxrdlx5">
        <w:r>
          <w:rPr>
            <w:rFonts w:ascii="Arial" w:cs="Arial" w:eastAsia="Arial" w:hAnsi="Arial"/>
            <w:color w:val="1D4ED8"/>
            <w:sz w:val="24"/>
            <w:szCs w:val="24"/>
            <w:u w:val="single"/>
          </w:rPr>
          <w:t xml:space="preserve">120</w:t>
        </w:r>
      </w:hyperlink>
      <w:r>
        <w:rPr>
          <w:rFonts w:ascii="Arial" w:cs="Arial" w:eastAsia="Arial" w:hAnsi="Arial"/>
          <w:sz w:val="24"/>
          <w:szCs w:val="24"/>
        </w:rPr>
        <w:t xml:space="preserve">, </w:t>
      </w:r>
      <w:hyperlink w:history="1" r:id="rId9taswquj8vecejnpb4gg4">
        <w:r>
          <w:rPr>
            <w:rFonts w:ascii="Arial" w:cs="Arial" w:eastAsia="Arial" w:hAnsi="Arial"/>
            <w:color w:val="1D4ED8"/>
            <w:sz w:val="24"/>
            <w:szCs w:val="24"/>
            <w:u w:val="single"/>
          </w:rPr>
          <w:t xml:space="preserve">125</w:t>
        </w:r>
      </w:hyperlink>
      <w:r>
        <w:rPr>
          <w:rFonts w:ascii="Arial" w:cs="Arial" w:eastAsia="Arial" w:hAnsi="Arial"/>
          <w:sz w:val="24"/>
          <w:szCs w:val="24"/>
        </w:rPr>
        <w:t xml:space="preserve">, </w:t>
      </w:r>
      <w:hyperlink w:history="1" r:id="rIdrtty2b9j02xrzobhh8g4m">
        <w:r>
          <w:rPr>
            <w:rFonts w:ascii="Arial" w:cs="Arial" w:eastAsia="Arial" w:hAnsi="Arial"/>
            <w:color w:val="1D4ED8"/>
            <w:sz w:val="24"/>
            <w:szCs w:val="24"/>
            <w:u w:val="single"/>
          </w:rPr>
          <w:t xml:space="preserve">302</w:t>
        </w:r>
      </w:hyperlink>
      <w:r>
        <w:rPr>
          <w:rFonts w:ascii="Arial" w:cs="Arial" w:eastAsia="Arial" w:hAnsi="Arial"/>
          <w:sz w:val="24"/>
          <w:szCs w:val="24"/>
        </w:rPr>
        <w:t xml:space="preserve"> и </w:t>
      </w:r>
      <w:hyperlink w:history="1" r:id="rId3gz9jdmdjeailxwoqkbcs">
        <w:r>
          <w:rPr>
            <w:rFonts w:ascii="Arial" w:cs="Arial" w:eastAsia="Arial" w:hAnsi="Arial"/>
            <w:color w:val="1D4ED8"/>
            <w:sz w:val="24"/>
            <w:szCs w:val="24"/>
            <w:u w:val="single"/>
          </w:rPr>
          <w:t xml:space="preserve">324</w:t>
        </w:r>
      </w:hyperlink>
      <w:r>
        <w:rPr>
          <w:rFonts w:ascii="Arial" w:cs="Arial" w:eastAsia="Arial" w:hAnsi="Arial"/>
          <w:sz w:val="24"/>
          <w:szCs w:val="24"/>
        </w:rPr>
        <w:t xml:space="preserve"> Налогового кодекса Кыргызской Республики" от 22 февраля 2022 года № 93 следующие изменения:</w:t>
      </w:r>
    </w:p>
    <w:p>
      <w:pPr>
        <w:spacing w:after="120"/>
        <w:jc w:val="both"/>
      </w:pPr>
      <w:r>
        <w:rPr>
          <w:rFonts w:ascii="Arial" w:cs="Arial" w:eastAsia="Arial" w:hAnsi="Arial"/>
          <w:sz w:val="24"/>
          <w:szCs w:val="24"/>
        </w:rPr>
        <w:t xml:space="preserve">1) абзац пятый </w:t>
      </w:r>
      <w:hyperlink w:history="1" r:id="rId31hhwsekgtxqo2j0t3kjn">
        <w:r>
          <w:rPr>
            <w:rFonts w:ascii="Arial" w:cs="Arial" w:eastAsia="Arial" w:hAnsi="Arial"/>
            <w:color w:val="1D4ED8"/>
            <w:sz w:val="24"/>
            <w:szCs w:val="24"/>
            <w:u w:val="single"/>
          </w:rPr>
          <w:t xml:space="preserve">пункта 1</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2) </w:t>
      </w:r>
      <w:hyperlink w:history="1" r:id="rIdlx86geivewrrufcnxaivd">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вышеуказанному постановлению признать утратившим силу;</w:t>
      </w:r>
    </w:p>
    <w:p>
      <w:pPr>
        <w:spacing w:after="120"/>
        <w:jc w:val="both"/>
      </w:pPr>
      <w:r>
        <w:rPr>
          <w:rFonts w:ascii="Arial" w:cs="Arial" w:eastAsia="Arial" w:hAnsi="Arial"/>
          <w:sz w:val="24"/>
          <w:szCs w:val="24"/>
        </w:rPr>
        <w:t xml:space="preserve">3) в </w:t>
      </w:r>
      <w:hyperlink w:history="1" r:id="rIdsjx_1o-auucp56klpxua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и условиях применения режима условного начисления налога на добавленную стоимость на импорт товаров, утвержденном вышеуказанным </w:t>
      </w:r>
      <w:hyperlink w:history="1" r:id="rIdnfvesq_lx1smbkh3yjpf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kulzf759s5oau5iec80y2">
        <w:r>
          <w:rPr>
            <w:rFonts w:ascii="Arial" w:cs="Arial" w:eastAsia="Arial" w:hAnsi="Arial"/>
            <w:color w:val="1D4ED8"/>
            <w:sz w:val="24"/>
            <w:szCs w:val="24"/>
            <w:u w:val="single"/>
          </w:rPr>
          <w:t xml:space="preserve">пункте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подпункт 2 изложить в следующей редакции:</w:t>
      </w:r>
    </w:p>
    <w:p>
      <w:pPr>
        <w:spacing w:after="120"/>
        <w:jc w:val="both"/>
      </w:pPr>
      <w:r>
        <w:rPr>
          <w:rFonts w:ascii="Arial" w:cs="Arial" w:eastAsia="Arial" w:hAnsi="Arial"/>
          <w:sz w:val="24"/>
          <w:szCs w:val="24"/>
        </w:rPr>
        <w:t xml:space="preserve">"2) банки и субъекты, оказывающие финансовые, страховые услуги;";</w:t>
      </w:r>
    </w:p>
    <w:p>
      <w:pPr>
        <w:spacing w:after="120"/>
        <w:jc w:val="both"/>
      </w:pPr>
      <w:r>
        <w:rPr>
          <w:rFonts w:ascii="Arial" w:cs="Arial" w:eastAsia="Arial" w:hAnsi="Arial"/>
          <w:sz w:val="24"/>
          <w:szCs w:val="24"/>
        </w:rPr>
        <w:t xml:space="preserve">дополнить подпунктами </w:t>
      </w:r>
      <w:hyperlink w:history="1" r:id="rIdx2lmh3racjv5sv9439-tq">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u7-mlbd_uqblldyx5ellq">
        <w:r>
          <w:rPr>
            <w:rFonts w:ascii="Arial" w:cs="Arial" w:eastAsia="Arial" w:hAnsi="Arial"/>
            <w:color w:val="1D4ED8"/>
            <w:sz w:val="24"/>
            <w:szCs w:val="24"/>
            <w:u w:val="single"/>
          </w:rPr>
          <w:t xml:space="preserve">11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"10) субъекты, осуществляющие деятельность застройщика;</w:t>
      </w:r>
    </w:p>
    <w:p>
      <w:pPr>
        <w:spacing w:after="120"/>
        <w:jc w:val="both"/>
      </w:pPr>
      <w:r>
        <w:rPr>
          <w:rFonts w:ascii="Arial" w:cs="Arial" w:eastAsia="Arial" w:hAnsi="Arial"/>
          <w:sz w:val="24"/>
          <w:szCs w:val="24"/>
        </w:rPr>
        <w:t xml:space="preserve">11) субъекты, осуществляющие поставки теплоэнергии, электроэнергии и газа.";</w:t>
      </w:r>
    </w:p>
    <w:p>
      <w:pPr>
        <w:spacing w:after="120"/>
        <w:jc w:val="both"/>
      </w:pPr>
      <w:r>
        <w:rPr>
          <w:rFonts w:ascii="Arial" w:cs="Arial" w:eastAsia="Arial" w:hAnsi="Arial"/>
          <w:sz w:val="24"/>
          <w:szCs w:val="24"/>
        </w:rPr>
        <w:t xml:space="preserve">- </w:t>
      </w:r>
      <w:hyperlink w:history="1" r:id="rIdo_cjybouwax0sdytiph93">
        <w:r>
          <w:rPr>
            <w:rFonts w:ascii="Arial" w:cs="Arial" w:eastAsia="Arial" w:hAnsi="Arial"/>
            <w:color w:val="1D4ED8"/>
            <w:sz w:val="24"/>
            <w:szCs w:val="24"/>
            <w:u w:val="single"/>
          </w:rPr>
          <w:t xml:space="preserve">пункт 5</w:t>
        </w:r>
      </w:hyperlink>
      <w:r>
        <w:rPr>
          <w:rFonts w:ascii="Arial" w:cs="Arial" w:eastAsia="Arial" w:hAnsi="Arial"/>
          <w:sz w:val="24"/>
          <w:szCs w:val="24"/>
        </w:rPr>
        <w:t xml:space="preserve"> дополнить подпунктом 5 следующего содержания:</w:t>
      </w:r>
    </w:p>
    <w:p>
      <w:pPr>
        <w:spacing w:after="120"/>
        <w:jc w:val="both"/>
      </w:pPr>
      <w:r>
        <w:rPr>
          <w:rFonts w:ascii="Arial" w:cs="Arial" w:eastAsia="Arial" w:hAnsi="Arial"/>
          <w:sz w:val="24"/>
          <w:szCs w:val="24"/>
        </w:rPr>
        <w:t xml:space="preserve">"5) при экспорте товаров оформлять счет-фактуру в порядке, установленном налоговым законодательством Кыргызской Республики.";</w:t>
      </w:r>
    </w:p>
    <w:p>
      <w:pPr>
        <w:spacing w:after="120"/>
        <w:jc w:val="both"/>
      </w:pPr>
      <w:r>
        <w:rPr>
          <w:rFonts w:ascii="Arial" w:cs="Arial" w:eastAsia="Arial" w:hAnsi="Arial"/>
          <w:sz w:val="24"/>
          <w:szCs w:val="24"/>
        </w:rPr>
        <w:t xml:space="preserve">- пункты </w:t>
      </w:r>
      <w:hyperlink w:history="1" r:id="rIdbegxsmjsuy-bvvk7xjjm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wnahwrbrtne4rbiajhsn">
        <w:r>
          <w:rPr>
            <w:rFonts w:ascii="Arial" w:cs="Arial" w:eastAsia="Arial" w:hAnsi="Arial"/>
            <w:color w:val="1D4ED8"/>
            <w:sz w:val="24"/>
            <w:szCs w:val="24"/>
            <w:u w:val="single"/>
          </w:rPr>
          <w:t xml:space="preserve">14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"13. После подтверждения регистрации в качестве субъекта, применяющего режим, установленный </w:t>
      </w:r>
      <w:hyperlink w:history="1" r:id="rIdniwtfe9wmtcebh8przgff">
        <w:r>
          <w:rPr>
            <w:rFonts w:ascii="Arial" w:cs="Arial" w:eastAsia="Arial" w:hAnsi="Arial"/>
            <w:color w:val="1D4ED8"/>
            <w:sz w:val="24"/>
            <w:szCs w:val="24"/>
            <w:u w:val="single"/>
          </w:rPr>
          <w:t xml:space="preserve">статьей 324</w:t>
        </w:r>
      </w:hyperlink>
      <w:r>
        <w:rPr>
          <w:rFonts w:ascii="Arial" w:cs="Arial" w:eastAsia="Arial" w:hAnsi="Arial"/>
          <w:sz w:val="24"/>
          <w:szCs w:val="24"/>
        </w:rPr>
        <w:t xml:space="preserve"> Налогового кодекса Кыргызской Республики, налогоплательщик вносит денежные средства (депозит) в размере условно начисленной суммы НДС на депозитный счет таможенного органа в порядке, установленном законодательством в сфере таможенного дела, за исключением налогоплательщика, применяющего режим условного начисления НДС на импорт товаров в соответствии с частью 4 </w:t>
      </w:r>
      <w:hyperlink w:history="1" r:id="rIdqq1jyeaejcbcnrvrgunsj">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Налогоплательщик, применяющий режим условного начисления НДС на импорт товаров в соответствии с частью 4 </w:t>
      </w:r>
      <w:hyperlink w:history="1" r:id="rIdezlftmm6uaybq2gpxoafu">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 при импорте товаров из третьих стран уплачивает НДС на импорт в бюджет в соответствии с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14. Налогоплательщик представляет в таможенный орган обязательство о последующем вывозе товаров с территории Кыргызской Республики по форме, утвержденной уполномоченным органом в сфере таможенного дела, за исключением налогоплательщика, применяющего режим условного начисления НДС на импорт товаров в соответствии с частью 4 </w:t>
      </w:r>
      <w:hyperlink w:history="1" r:id="rIdh50tjimz3embrtaotawep">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 пункты </w:t>
      </w:r>
      <w:hyperlink w:history="1" r:id="rIdqb4t_phnkemdce8795cg2">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hyperlink w:history="1" r:id="rIdnqqssohhpd191mr3kmqvh">
        <w:r>
          <w:rPr>
            <w:rFonts w:ascii="Arial" w:cs="Arial" w:eastAsia="Arial" w:hAnsi="Arial"/>
            <w:color w:val="1D4ED8"/>
            <w:sz w:val="24"/>
            <w:szCs w:val="24"/>
            <w:u w:val="single"/>
          </w:rPr>
          <w:t xml:space="preserve">18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"16. Уполномоченный государственный орган в сфере таможенного дела в течение 7 рабочих дней, следующих за днем выпуска товаров, направляет в уполномоченный налоговый орган сведения, содержащие ИНН налогоплательщика, номер декларации на товары и условно начисленную сумму НДС, за исключением сведений налогоплательщика, применяющего режим условного начисления НДС на импорт товаров в соответствии с частью 4 </w:t>
      </w:r>
      <w:hyperlink w:history="1" r:id="rIdqhgahp_6_3u6fsvflcs5d">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17. При импорте товаров из государств-членов ЕАЭС налогоплательщик уплачивает условно начисленную сумму НДС на депозитный счет налогового органа не позднее 20 числа месяца, следующего за месяцем, в котором был осуществлен импорт товара, за исключением налогоплательщика, применяющего режим условного начисления НДС на импорт товаров в соответствии с частью 4 </w:t>
      </w:r>
      <w:hyperlink w:history="1" r:id="rIdnx9zcscbwafy5axgwtvfr">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В случае несвоевременного внесения налогоплательщиком условно начисленной суммы НДС на импорт товаров на депозитный счет налоговый орган производит начисление пени за каждый календарный день просрочки исполнения обязательства по внесению суммы на депозитный счет начиная со дня истечения срока внесения суммы на депозитный счет в порядке, установленном Налоговым </w:t>
      </w:r>
      <w:hyperlink w:history="1" r:id="rIdbcjr4ycouknrgtrkawsv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Налогоплательщик, применяющий режим условного начисления НДС на импорт товаров в соответствии с частью 4 </w:t>
      </w:r>
      <w:hyperlink w:history="1" r:id="rIdiufqxd1kep5zri6hiiwf6">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 при импорте товаров из государств-членов ЕАЭС уплачивает НДС на импорт в бюджет в соответствии со </w:t>
      </w:r>
      <w:hyperlink w:history="1" r:id="rIdzye03k7nu_a4qsb_e_pk1">
        <w:r>
          <w:rPr>
            <w:rFonts w:ascii="Arial" w:cs="Arial" w:eastAsia="Arial" w:hAnsi="Arial"/>
            <w:color w:val="1D4ED8"/>
            <w:sz w:val="24"/>
            <w:szCs w:val="24"/>
            <w:u w:val="single"/>
          </w:rPr>
          <w:t xml:space="preserve">статьей 320</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18. При представлении в налоговый орган отчетности по косвенным налогам налогоплательщик, за исключением налогоплательщика, применяющего режим условного начисления НДС на импорт товаров в соответствии с частью 4 </w:t>
      </w:r>
      <w:hyperlink w:history="1" r:id="rIdeljmeh-3j0me4e0jg8jts">
        <w:r>
          <w:rPr>
            <w:rFonts w:ascii="Arial" w:cs="Arial" w:eastAsia="Arial" w:hAnsi="Arial"/>
            <w:color w:val="1D4ED8"/>
            <w:sz w:val="24"/>
            <w:szCs w:val="24"/>
            <w:u w:val="single"/>
          </w:rPr>
          <w:t xml:space="preserve">статьи 324</w:t>
        </w:r>
      </w:hyperlink>
      <w:r>
        <w:rPr>
          <w:rFonts w:ascii="Arial" w:cs="Arial" w:eastAsia="Arial" w:hAnsi="Arial"/>
          <w:sz w:val="24"/>
          <w:szCs w:val="24"/>
        </w:rPr>
        <w:t xml:space="preserve"> Налогового кодекса Кыргызской Республики, представляет копию квитанции об уплате условно начисленной суммы НДС на депозитный счет налогового органа.".</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Опубликовано в газете "Эркин Тоо" от </w:t>
      </w:r>
      <w:r>
        <w:rPr>
          <w:rFonts w:ascii="Arial" w:cs="Arial" w:eastAsia="Arial" w:hAnsi="Arial"/>
          <w:i/>
          <w:iCs/>
          <w:sz w:val="24"/>
          <w:szCs w:val="24"/>
        </w:rPr>
        <w:t xml:space="preserve">6 июня</w:t>
      </w:r>
      <w:r>
        <w:rPr>
          <w:rFonts w:ascii="Arial" w:cs="Arial" w:eastAsia="Arial" w:hAnsi="Arial"/>
          <w:i/>
          <w:iCs/>
          <w:sz w:val="24"/>
          <w:szCs w:val="24"/>
        </w:rPr>
        <w:t xml:space="preserve"> 2023 года № 4</w:t>
      </w:r>
      <w:r>
        <w:rPr>
          <w:rFonts w:ascii="Arial" w:cs="Arial" w:eastAsia="Arial" w:hAnsi="Arial"/>
          <w:i/>
          <w:iCs/>
          <w:sz w:val="24"/>
          <w:szCs w:val="24"/>
        </w:rPr>
        <w:t xml:space="preserve">5</w:t>
      </w:r>
      <w:r>
        <w:rPr>
          <w:rFonts w:ascii="Arial" w:cs="Arial" w:eastAsia="Arial" w:hAnsi="Arial"/>
          <w:i/>
          <w:iCs/>
          <w:sz w:val="24"/>
          <w:szCs w:val="24"/>
        </w:rPr>
        <w:t xml:space="preserve"> (349</w:t>
      </w:r>
      <w:r>
        <w:rPr>
          <w:rFonts w:ascii="Arial" w:cs="Arial" w:eastAsia="Arial" w:hAnsi="Arial"/>
          <w:i/>
          <w:iCs/>
          <w:sz w:val="24"/>
          <w:szCs w:val="24"/>
        </w:rPr>
        <w:t xml:space="preserve">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mxz3x8fz_dj05hg-ei">
      <w:r>
        <w:rPr>
          <w:rFonts w:ascii="Arial" w:cs="Arial" w:eastAsia="Arial" w:hAnsi="Arial"/>
          <w:color w:val="132D3F"/>
          <w:sz w:val="16"/>
          <w:szCs w:val="16"/>
          <w:u w:val="single"/>
        </w:rPr>
        <w:t xml:space="preserve">dalil.kg/document/160206</w:t>
      </w:r>
    </w:hyperlink>
  </w:p>
  <w:p>
    <w:pPr>
      <w:spacing w:after="0" w:before="40"/>
      <w:jc w:val="center"/>
    </w:pPr>
    <w:hyperlink w:history="1" r:id="rIdcy1slndrmcfudvkukip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uukhf0o7qusvb7kpxrzi" Type="http://schemas.openxmlformats.org/officeDocument/2006/relationships/hyperlink" Target="https://dalil.kg/document/112340#st_61" TargetMode="External"/><Relationship Id="rId7rr6wtprswzx4_b3gocwg" Type="http://schemas.openxmlformats.org/officeDocument/2006/relationships/hyperlink" Target="https://dalil.kg/document/112340#st_324" TargetMode="External"/><Relationship Id="rId4eru_abaz7z0ryncxs0xw" Type="http://schemas.openxmlformats.org/officeDocument/2006/relationships/hyperlink" Target="https://dalil.kg/document/112301#st_13" TargetMode="External"/><Relationship Id="rIdmyc6krdsshyhbtu1qok3o" Type="http://schemas.openxmlformats.org/officeDocument/2006/relationships/hyperlink" Target="https://dalil.kg/document/112301#st_17" TargetMode="External"/><Relationship Id="rIdmn6nw7oqrtslc613kfntm" Type="http://schemas.openxmlformats.org/officeDocument/2006/relationships/hyperlink" Target="https://dalil.kg/document/158988" TargetMode="External"/><Relationship Id="rIdnnvhcw5nekrrnjcvc6mid" Type="http://schemas.openxmlformats.org/officeDocument/2006/relationships/hyperlink" Target="https://dalil.kg/document/112340#st_99" TargetMode="External"/><Relationship Id="rIdkkkt_kgckcelmciigmjs6" Type="http://schemas.openxmlformats.org/officeDocument/2006/relationships/hyperlink" Target="https://dalil.kg/document/112340#st_100" TargetMode="External"/><Relationship Id="rIdrbm4jhxpmnn7dhuxrdlx5" Type="http://schemas.openxmlformats.org/officeDocument/2006/relationships/hyperlink" Target="https://dalil.kg/document/112340#st_120" TargetMode="External"/><Relationship Id="rId9taswquj8vecejnpb4gg4" Type="http://schemas.openxmlformats.org/officeDocument/2006/relationships/hyperlink" Target="https://dalil.kg/document/112340#st_125" TargetMode="External"/><Relationship Id="rIdrtty2b9j02xrzobhh8g4m" Type="http://schemas.openxmlformats.org/officeDocument/2006/relationships/hyperlink" Target="https://dalil.kg/document/112340#st_302" TargetMode="External"/><Relationship Id="rId3gz9jdmdjeailxwoqkbcs" Type="http://schemas.openxmlformats.org/officeDocument/2006/relationships/hyperlink" Target="https://dalil.kg/document/112340#st_324" TargetMode="External"/><Relationship Id="rId31hhwsekgtxqo2j0t3kjn" Type="http://schemas.openxmlformats.org/officeDocument/2006/relationships/hyperlink" Target="https://dalil.kg/document/158988#p1" TargetMode="External"/><Relationship Id="rIdlx86geivewrrufcnxaivd" Type="http://schemas.openxmlformats.org/officeDocument/2006/relationships/hyperlink" Target="https://dalil.kg/document/158988#pr4" TargetMode="External"/><Relationship Id="rIdsjx_1o-auucp56klpxuar" Type="http://schemas.openxmlformats.org/officeDocument/2006/relationships/hyperlink" Target="https://dalil.kg/document/159000" TargetMode="External"/><Relationship Id="rIdnfvesq_lx1smbkh3yjpfh" Type="http://schemas.openxmlformats.org/officeDocument/2006/relationships/hyperlink" Target="https://dalil.kg/document/158988" TargetMode="External"/><Relationship Id="rIdkulzf759s5oau5iec80y2" Type="http://schemas.openxmlformats.org/officeDocument/2006/relationships/hyperlink" Target="https://dalil.kg/document/159000#p3" TargetMode="External"/><Relationship Id="rIdx2lmh3racjv5sv9439-tq" Type="http://schemas.openxmlformats.org/officeDocument/2006/relationships/hyperlink" Target="https://dalil.kg/document/159000#p3_p_10" TargetMode="External"/><Relationship Id="rIdu7-mlbd_uqblldyx5ellq" Type="http://schemas.openxmlformats.org/officeDocument/2006/relationships/hyperlink" Target="https://dalil.kg/document/159000#p3_p_11" TargetMode="External"/><Relationship Id="rIdo_cjybouwax0sdytiph93" Type="http://schemas.openxmlformats.org/officeDocument/2006/relationships/hyperlink" Target="https://dalil.kg/document/159000#p5" TargetMode="External"/><Relationship Id="rIdbegxsmjsuy-bvvk7xjjmj" Type="http://schemas.openxmlformats.org/officeDocument/2006/relationships/hyperlink" Target="https://dalil.kg/document/159000#p13" TargetMode="External"/><Relationship Id="rIdrwnahwrbrtne4rbiajhsn" Type="http://schemas.openxmlformats.org/officeDocument/2006/relationships/hyperlink" Target="https://dalil.kg/document/159000#p14" TargetMode="External"/><Relationship Id="rIdniwtfe9wmtcebh8przgff" Type="http://schemas.openxmlformats.org/officeDocument/2006/relationships/hyperlink" Target="https://dalil.kg/document/112340#st_324" TargetMode="External"/><Relationship Id="rIdqq1jyeaejcbcnrvrgunsj" Type="http://schemas.openxmlformats.org/officeDocument/2006/relationships/hyperlink" Target="https://dalil.kg/document/112340#st_324" TargetMode="External"/><Relationship Id="rIdezlftmm6uaybq2gpxoafu" Type="http://schemas.openxmlformats.org/officeDocument/2006/relationships/hyperlink" Target="https://dalil.kg/document/112340#st_324" TargetMode="External"/><Relationship Id="rIdh50tjimz3embrtaotawep" Type="http://schemas.openxmlformats.org/officeDocument/2006/relationships/hyperlink" Target="https://dalil.kg/document/112340#st_324" TargetMode="External"/><Relationship Id="rIdqb4t_phnkemdce8795cg2" Type="http://schemas.openxmlformats.org/officeDocument/2006/relationships/hyperlink" Target="https://dalil.kg/document/159000#p16" TargetMode="External"/><Relationship Id="rIdnqqssohhpd191mr3kmqvh" Type="http://schemas.openxmlformats.org/officeDocument/2006/relationships/hyperlink" Target="https://dalil.kg/document/159000#p18" TargetMode="External"/><Relationship Id="rIdqhgahp_6_3u6fsvflcs5d" Type="http://schemas.openxmlformats.org/officeDocument/2006/relationships/hyperlink" Target="https://dalil.kg/document/112340#st_324" TargetMode="External"/><Relationship Id="rIdnx9zcscbwafy5axgwtvfr" Type="http://schemas.openxmlformats.org/officeDocument/2006/relationships/hyperlink" Target="https://dalil.kg/document/112340#st_324" TargetMode="External"/><Relationship Id="rIdbcjr4ycouknrgtrkawsvh" Type="http://schemas.openxmlformats.org/officeDocument/2006/relationships/hyperlink" Target="https://dalil.kg/document/112340" TargetMode="External"/><Relationship Id="rIdiufqxd1kep5zri6hiiwf6" Type="http://schemas.openxmlformats.org/officeDocument/2006/relationships/hyperlink" Target="https://dalil.kg/document/112340#st_324" TargetMode="External"/><Relationship Id="rIdzye03k7nu_a4qsb_e_pk1" Type="http://schemas.openxmlformats.org/officeDocument/2006/relationships/hyperlink" Target="https://dalil.kg/document/112340#st_320" TargetMode="External"/><Relationship Id="rIdeljmeh-3j0me4e0jg8jts" Type="http://schemas.openxmlformats.org/officeDocument/2006/relationships/hyperlink" Target="https://dalil.kg/document/112340#st_324"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mxz3x8fz_dj05hg-ei" Type="http://schemas.openxmlformats.org/officeDocument/2006/relationships/hyperlink" Target="https://dalil.kg/document/160206" TargetMode="External"/><Relationship Id="rIdcy1slndrmcfudvkukip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2026-09-24T19:55:12.627Z</dcterms:created>
  <dcterms:modified xsi:type="dcterms:W3CDTF">2026-09-24T19:55:12.627Z</dcterms:modified>
</cp:coreProperties>
</file>

<file path=docProps/custom.xml><?xml version="1.0" encoding="utf-8"?>
<Properties xmlns="http://schemas.openxmlformats.org/officeDocument/2006/custom-properties" xmlns:vt="http://schemas.openxmlformats.org/officeDocument/2006/docPropsVTypes"/>
</file>