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16</w:t>
      </w:r>
      <w:r>
        <w:rPr>
          <w:rFonts w:ascii="Arial" w:cs="Arial" w:eastAsia="Arial" w:hAnsi="Arial"/>
          <w:sz w:val="24"/>
          <w:szCs w:val="24"/>
        </w:rPr>
        <w:t xml:space="preserve"> мая</w:t>
      </w:r>
      <w:r>
        <w:rPr>
          <w:rFonts w:ascii="Arial" w:cs="Arial" w:eastAsia="Arial" w:hAnsi="Arial"/>
          <w:sz w:val="24"/>
          <w:szCs w:val="24"/>
        </w:rPr>
        <w:t xml:space="preserve"> 2023 года № 257</w:t>
      </w:r>
    </w:p>
    <w:p>
      <w:pPr>
        <w:spacing w:after="120"/>
        <w:jc w:val="both"/>
      </w:pPr>
      <w:r>
        <w:rPr>
          <w:rFonts w:ascii="Arial" w:cs="Arial" w:eastAsia="Arial" w:hAnsi="Arial"/>
          <w:sz w:val="24"/>
          <w:szCs w:val="24"/>
        </w:rPr>
        <w:t xml:space="preserve">О внесении изменений в постановление Кабинета Министров Кыргызской Республики "Об утверждении Перечня специализированных товаров и оборудования, предназначенных для строительства энергетических установок на основе использования возобновляемых источников энергии, подлежащих освобождению от уплаты НДС при импорте на территорию Кыргызской Республики" от 4 октября 2021 года № 196</w:t>
      </w:r>
    </w:p>
    <w:p>
      <w:pPr>
        <w:spacing w:after="120"/>
        <w:jc w:val="both"/>
      </w:pPr>
      <w:r>
        <w:rPr>
          <w:rFonts w:ascii="Arial" w:cs="Arial" w:eastAsia="Arial" w:hAnsi="Arial"/>
          <w:sz w:val="24"/>
          <w:szCs w:val="24"/>
        </w:rPr>
        <w:t xml:space="preserve">В целях создания условий для развития возобновляемых источников энергии, в соответствии со </w:t>
      </w:r>
      <w:hyperlink w:history="1" r:id="rIdmq3ubtr4rysm9sjlhnayk">
        <w:r>
          <w:rPr>
            <w:rFonts w:ascii="Arial" w:cs="Arial" w:eastAsia="Arial" w:hAnsi="Arial"/>
            <w:color w:val="1D4ED8"/>
            <w:sz w:val="24"/>
            <w:szCs w:val="24"/>
            <w:u w:val="single"/>
          </w:rPr>
          <w:t xml:space="preserve">статьей 297</w:t>
        </w:r>
      </w:hyperlink>
      <w:r>
        <w:rPr>
          <w:rFonts w:ascii="Arial" w:cs="Arial" w:eastAsia="Arial" w:hAnsi="Arial"/>
          <w:sz w:val="24"/>
          <w:szCs w:val="24"/>
        </w:rPr>
        <w:t xml:space="preserve"> Налогового кодекса Кыргызской Республики, статьями </w:t>
      </w:r>
      <w:hyperlink w:history="1" r:id="rIdgunhme8rvsitogbwcrv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s7ql-6wirsua7i2rrep7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5jemrnrztwccce8ivch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Перечня специализированных товаров и оборудования, предназначенных для строительства энергетических установок на основе использования возобновляемых источников энергии, подлежащих освобождению от уплаты НДС при импорте на территорию Кыргызской Республики" от 4 октября 2021 года № 196 следующие изменения:</w:t>
      </w:r>
    </w:p>
    <w:p>
      <w:pPr>
        <w:spacing w:after="120"/>
        <w:jc w:val="both"/>
      </w:pPr>
      <w:hyperlink w:history="1" r:id="rIdh1vhjqbtp_igiguy3-kpw">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утвержденный вышеуказанным постановлением, дополнить разделом "Прочее оборудование"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1519"/>
        <w:gridCol w:w="8138"/>
      </w:tblGrid>
      <w:tr>
        <w:tc>
          <w:tcPr>
            <w:tcW w:type="dxa" w:w="5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ТН ВЭД ЕАЭС</w:t>
            </w:r>
          </w:p>
        </w:tc>
        <w:tc>
          <w:tcPr>
            <w:tcW w:type="dxa" w:w="81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Прочее оборудование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8504 22 100 0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с жидким диэлектриком, мощностью более 650 кВА, но не более 1600 кВА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8504 23 000 9</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трансформаторы с жидким диэлектриком, мощностью более 10000 кВА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8504 32 000 2</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мощностью более 1 кВА, но не более 16 кВА, измерительные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8535 10 000 0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более 1000 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8535 21 000 0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напряжение более 1000 В, но менее 72,5 кВ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8535 29 000 0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напряжение более 1000 В, прочие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8535 30 200 0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на напряжение менее 72,5 кВ, но более 1000 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8535 30 900 8</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разъединители и прерыватели на напряжение 72,5 кВ и более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8535 30 900 1</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Элегазовые выключатели на напряжение не менее 110 кВ, но не более 550 кВ в корпусе из алюминиевого сплава, содержащем не менее двух монтажных фланцев с крепежными отверстиями, предназначенных для подсоединения внешней аппаратуры, где, по крайней мере, один из монтажных фланцев содержит крепежные отверстия, центры которых расположены на окружности диаметром не менее 330 мм, но не более 680 мм</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8535 30 900 2</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Элегазовые разъединители-заземлители на напряжение не менее 110 кВ, но не более 550 кВ в корпусе из алюминиевого сплава, содержащем не менее двух монтажных фланцев с крепежными отверстиями, предназначенных для подсоединения внешней аппаратуры, где, по крайней мере, два из монтажных фланцев содержат крепежные отверстия, центры которых расположены на окружности диаметром не менее 330 мм, но не более 680 мм</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8535 30 900 3</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Элегазовые заземлители на напряжение не менее 110 кВ, но не более 550 кВ в корпусе из алюминиевого сплава, содержащем, по крайней мере, два монтажных фланца, предназначенных для подсоединения внешней аппаратуры с крепежными отверстиями, центры которых расположены на окружности диаметром не менее 330 мм, но не более 680 мм</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8535 30 900 8</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на напряжение 72,5 кВ и более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8535 40 000 0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Молниеотводы, ограничители напряжения и гасители скачков напряжения на напряжение более 1000 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8535 90 000 8</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токоприемники, токосъемники и прочие соединители, соединительные коробки) на напряжение более 1000 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8535 90 000 1</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Проходные изоляторы с одним или несколькими электродами на напряжение не менее 110 кВ, но не более 550 кВ в корпусе из алюминиевого сплава, содержащем монтажное фланцевое кольцо для подсоединения внешней аппаратуры с крепежными отверстиями, центры которых расположены на окружности диаметром не менее 330 мм, но не более 680 мм</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8536 10 100 0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не более 1000 В, на силу тока не более 10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8536 10 500 0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не более 1000 В, на силу тока более 10 А, но не более 63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8536 10 900 0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не более 1000 В, на силу тока более 63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8536 20 100 7</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не более 63 А, прочие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8536 30 200 0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прочие, на силу тока не более 16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8536 30 400 0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прочие, на силу тока более 16 А, но не более 125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8536 30 800 0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прочие, на силу тока более 125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8536 41 100 0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напряжение не более 60 А, на силу тока не более 2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8536 41 900 0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напряжение не более 60 А, на силу тока более 2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8536 49 000 0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напряжение не более 1000 В, прочие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8536 90 010 0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собранные элементы для электрических цепей на напряжение не более 1000 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8546 10 000 0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Изоляторы электрические стеклянные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8546 20 000 0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Изоляторы электрические керамические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8546 90 100 0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изоляторы электрические из пластмассы</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8501 53 990 0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переменного тока многофазные прочие, номинальной выходной мощностью более 750 кВт</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8501 64 000 0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переменного тока (синхронные генераторы), номинальной выходной мощностью более 750 кВА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8410 90 000 9</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включая регуляторы для турбин гидравлических, колес водяных</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8426 11 000 0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мостовые на неподвижных опорах</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8481 80 850 8</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затворы дисковые поворотные для трубопроводов, котлов, резервуаров, цистерн, баков или аналогичных емкостей</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8544 49 910 8</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(провода и кабели с изолированными проводниками диаметром более 0,51 мм)</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7305 31 000 0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Сварные прямошовные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8537 20 920 0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напряжение более 1000 В, но не более 72,5 кВ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8537 10 980 0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газете "Эркин Тоо" от 23 мая 2023 года № 41 (3490)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q3ubtr4rysm9sjlhnayk" Type="http://schemas.openxmlformats.org/officeDocument/2006/relationships/hyperlink" Target="http://kodeks.duckdns.org/document/112340#st_297" TargetMode="External"/><Relationship Id="rIdgunhme8rvsitogbwcrvw-" Type="http://schemas.openxmlformats.org/officeDocument/2006/relationships/hyperlink" Target="http://kodeks.duckdns.org/document/112301#st_13" TargetMode="External"/><Relationship Id="rIds7ql-6wirsua7i2rrep7q" Type="http://schemas.openxmlformats.org/officeDocument/2006/relationships/hyperlink" Target="http://kodeks.duckdns.org/document/112301#st_17" TargetMode="External"/><Relationship Id="rId5jemrnrztwccce8ivchaj" Type="http://schemas.openxmlformats.org/officeDocument/2006/relationships/hyperlink" Target="http://kodeks.duckdns.org/document/158971" TargetMode="External"/><Relationship Id="rIdh1vhjqbtp_igiguy3-kpw" Type="http://schemas.openxmlformats.org/officeDocument/2006/relationships/hyperlink" Target="http://kodeks.duckdns.org/document/158971#pr"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2026-09-23T05:37:04.688Z</dcterms:created>
  <dcterms:modified xsi:type="dcterms:W3CDTF">2026-09-23T05:37:04.688Z</dcterms:modified>
</cp:coreProperties>
</file>

<file path=docProps/custom.xml><?xml version="1.0" encoding="utf-8"?>
<Properties xmlns="http://schemas.openxmlformats.org/officeDocument/2006/custom-properties" xmlns:vt="http://schemas.openxmlformats.org/officeDocument/2006/docPropsVTypes"/>
</file>