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csvrpxfngvbmlfpvkyk7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ПОРЯДОК
 проведения технического осмотра транспортных средств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Порядок проведения технического осмотра транспортных средств (далее - Порядок) устанавливает порядок проведения технического осмотра транспортных средств за соответствием их конструкции требованиям, установленным соответствующим техническим регламентом на территории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Технический осмотр транспортных средств проводится диагностическими центрами, аккредитованными в национальной системе аккредитации в соответствии с требованиями международного стандарта ISO/IEC 17020 (далее - диагностические центры).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Диагностические центры, проводящие технический осмотр транспортных средств на территории Кыргызской Республики, должны быть оснащены: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специальными техническими средствами и оборудованием, средствами измерений необходимыми для проведения технического осмотра транспортных средств требованиям технического регламента Таможенного союза "О безопасности колесных транспортных средств" (далее - ТР ТС 018/2011) в полном объеме;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оснащены специальными техническими средствами фотофиксации технического осмотра транспортных средств;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техническими средствами для внесения сведений о результатах проведения технического осмотра в единую автоматизированную информационную систему технического осмотра, интегрированную с системой межведомственного электронного взаимодействия "Тундук" в режиме онлайн.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Специалисты, проводящие технический осмотр транспортных средств, а также лица ответственные за его проведение должны быть компетентными, иметь соответствующую квалификацию, подготовку, опыт работы и обладать знаниями, касающимися: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требований ТР ТС 018/2011 и стандартов необходимых для его применения;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проведений технического осмотра транспортных средств и технологии их производства;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использования транспортных средств и умение определения любых дефектов, которые могут возникнуть в процессе эксплуатации транспортных средств и осуществлять деятельность по проведению технического осмотра транспортных средств на основе трудового договора в одном аккредитованном диагностическом центре.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Диагностические центры обеспечивают размещение в средствах массовой информации, сети Интернет, в удобном для ознакомления месте в пункте технического осмотра информации о режиме работы пункта технического осмотра, прейскуранте цен за услуги по проведению технического осмотра, перечне документов, необходимых для прохождения технического осмотра транспортных средств, указанных в пункте 6 настоящего Порядка.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Порядок проведения технического осмотра наземных транспортных средств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Для проведения технического осмотра транспортных средств, юридические и физические лица, владельцы транспортных средств (далее - эксплуатант):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имеют право выбора диагностического центра для проведения технического осмотра транспортных средств;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подают заявку в диагностический центр согласно </w:t>
      </w:r>
      <w:hyperlink w:history="1" r:id="rIddivv-b9ndxg0i09tiev0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Порядку (в бумажном виде или электронном виде подписанную электронной цифровой подписью), область аккредитации которого включает проведение работ по техническому осмотру заявленной категории транспортного средства;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представляют для осмотра транспортные средства;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предъявляют документ, удостоверяющий личность эксплуатанта, свидетельство о регистрации в органах юстиции (для юридических лиц), свидетельство о регистрации транспортного средства;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оплачивают стоимость работ по проведению технического осмотра транспортных средств в соответствии с прейскурантом цен диагностического центра.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Эксплуатант, имеющий на балансе специальные транспортные средства (автокраны, гидроподъемники и другие виды механизмов) на шасси автомобилей, а также автотранспортные средства, осуществляющие перевозку опасных грузов, обязан перед началом проведения технического осмотра пройти проверку специальных транспортных средств на предмет безопасности подъемных и других устройств в уполномоченном органе, осуществляющий государственный контроль за промышленной безопасностью, с получением справки о пригодности к дальнейшей эксплуатации механизмов, установленных на шасси автомобилей, после чего предоставить их на технический осмотр.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При проведении технического осмотра диагностический центр: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заявку на проведение технического осмотра транспортных средств, регистрирует ее и информирует эксплуатанта о порядке проведения технического осмотра транспортных средств, представляет ему утвержденный в установленном порядке прейскурант цен на работы по проведению технического осмотра транспортных средств и подписывает договор (соглашение) на проведение работ по техническому осмотру транспортных средств;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проверяет соответствие заводских номеров шасси и кузовов, соответствие окраски автомобилей данным в свидетельстве о регистрации транспортных средств. При обнаружении различий в регистрационных данных, подделки заводских номеров шасси (рамы) или кузова, записей в свидетельстве о регистрации транспортных средств, диагностический центр уведомляет уполномоченный государственный орган в сфере безопасности дорожного движения и отказывает в проведении технического осмотра;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проверяет размещение на специальных средствах световой и звуковой сигнализации;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проверяет транспортное средство на соответствие требованиям, установленным соответствующими техническими регламентами;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фотофиксацию процедуры технического осмотра транспортных средств и вносит в режиме онлайн сведения о его результатах (как положительные, так и отрицательные) в единую автоматизированную информационную систему технического осмотра;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документирует каждую процедуру технического осмотра транспортных средств путем внесения в диагностическую карту технического осмотра транспортного средства.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Диагностическая карта технического осмотра транспортного средства должна содержать следующую информацию: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данные об эксплуатанте с указанием фамилии, имени, отчества или наименования юридического лица, типа, модели, года выпуска, серии и номера свидетельства о регистрации, номера кузова транспортного средства;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данные о соответствии или несоответствии параметров транспортного средства требованиям, установленным соответствующими техническими регламентами с фактическими параметрами транспортного средства;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заключение о соответствии или несоответствии требованиям безопасности транспортного средства;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данные об эксперте проводившего технический осмотр транспортных средств, включающие фамилию, имя, отчество, дату, подпись и печать.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Диагностическая карта оформляется в письменной форме в двух экземплярах и в форме электронного документа. Один из экземпляров диагностической карты, составленной в письменной форме, выдается эксплуатанту, другой хранится в диагностическом центре три года с момента ее выдачи. Диагностическая карта, составленная в форме электронного документа, направляется в единую автоматизированную информационную систему технического осмотра и хранится в диагностическом центре пять лет с момента ее выдачи.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Техническое состояние прицепов и полуприцепов проверяется как в составе автопоезда, так и в расцепленном состоянии (для контроля исправности тягово-сцепного устройства).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Продолжительность технического осмотра одного транспортного средства в зависимости от категории должна составлять от пятнадцати до шестидесяти минут.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При положительных результатах технического осмотра транспортных средств, отраженных в диагностической карте, эксплуатанту транспортного средства выдается талон о прохождении технического осмотра установленного образца согласно </w:t>
      </w:r>
      <w:hyperlink w:history="1" r:id="rIdgs8p6bybsohlexkqjvto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Порядку, заверенный подписью эксперта и печатью диагностического центра, графы которого заполняются ручным или машинописным способом на государственном или официальном языках.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Бланки талонов являются бланками строгой отчетности, имеют индивидуальный порядковый номер и выдаются аккредитованным диагностическим центрам национальным органом по аккредитации органов по оценке соответствия. Диагностические центры ежеквартально должны отчитываться о выданных и испорченных талонах национальному органу по аккредитации.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Транспортные средства, не соответствующие хотя бы одному из требований, считаются не прошедшими технический осмотр.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Диагностический центр возвращает транспортное средство эксплуатанту, с указанием о несоответствии требованиям, установленным соответствующими техническими регламентами.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Не позднее 14 календарных дней со дня прохождения технического осмотра, после устранения выявленных неисправностей, эксплуатант транспортного средства представляет его для повторного проведения технического осмотра.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Повторный технический осмотр транспортного средства проводится в диагностическом центре, где проводился первый технический осмотр.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Повторный технический осмотр транспортного средства в диагностическом центре проводится только по тем позициям, которые не соответствовали установленным требованиям и указанным в диагностической карте технического осмотра.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этом случае диагностическим центром взимается оплата за проверку тех позиций, которые проверяются вновь.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Результаты (положительные или отрицательные) технического осмотра диагностический центр вносит в режиме онлайн в единую автоматизированную информационную систему технического осмотра следующие данные о транспортных средствах, прошедших технический осмотр: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марка транспортного средства;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государственный номер;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номера кузова и шасси;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год выпуска;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дата прохождения технического осмотра;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данные об эксплуатанте (фамилия, имя, отчество или наименование юридического лица);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типографский номер бланка талона о прохождении технического осмотра;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заключение о проведенном техническом осмотре (положительное или отрицательное).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единую автоматизированную информационную систему технического осмотра должен быть загружен снимок транспортного средства, проходящего технический осмотр, а также изображение эксперта, проводившего технический осмотр (в полный рост, лицом в камеру и обязательно рядом с автомобилем). На снимках должны хорошо читаться марка и государственный регистрационный знак машины, а также ее цвет и должны быть видны ее передняя часть и одна из боковых поверхностей.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того, фотографии должны быть сделаны внутри диагностического центра (за исключением передвижной диагностической линии), сопровождаться датой, временем и на снимке обязательно должно быть изображение роликового стенда для проверки тормозных систем.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Также на фотографиях не должно быть никаких фотоэффектов, а файлы с изображениями не должны подвергаться редактированию.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Материалы фотофиксации хранятся 3 года на сервере базы данных единой автоматизированной информационной системы технического осмотра с даты регистрации.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Единая автоматизированная информационная система, интегрированная с системой межведомственного электронного взаимодействия "Тундук", ведется уполномоченным государственным органом по техническому регулированию.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При утере талона о прохождении технического осмотра эксплуатант транспортного средства обращается в диагностический центр с заявлением о выдаче дубликата талона взамен утерянного талона о прохождении технического осмотра.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Диагностический центр, удостоверившись по единой автоматизированной информационной системе технического осмотра в проведении технического осмотра транспортного средства заявителя, в течение 1 дня с момента подачи заявления эксплуатантом осуществляет выдачу дубликата талона о прохождении технического осмотра взамен утерянного талона о прохождении технического осмотра без проведения технического осмотра транспортного средства.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Дубликат талона о прохождении технического осмотра взамен утерянного талона о прохождении технического осмотра выдается с указанием фактической даты прохождения технического осмотра, указанной в единой автоматизированной информационной системе технического осмотра.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Эксплуатант производит оплату диагностическому центру технического осмотра за выдачу дубликата талона о прохождении технического осмотра взамен утерянного талона о прохождении технического осмотра в размере стоимости бланочной продукции.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Диагностический центр должен иметь документированный процесс приема, оценивания и принятия решений по жалобам и апелляциям.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возникновении разногласий с диагностическим центром при прохождении технического осмотра транспортного средства, эксплуатант обращается с заявлением в комиссию по жалобам и апелляциям диагностического центра или в орган по аккредитации, аккредитовавший его.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Комиссия по жалобам и апелляциям создается диагностическим центром, в состав которой входят представители органа по аккредитации, уполномоченного государственного органа по осуществлению государственного контроля (надзора) за соблюдением требований ТР ТС 018/2011, ассоциации транспортных организаций, компетентные специалисты автопредприятий.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Комиссия по жалобам и апелляциям рассматривает поступившее заявление от эксплуатанта в течение пяти рабочих дней и уведомляет его о принятом решении в течение одного рабочего дня с момента принятия решения.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Комиссия по жалобам и апелляциям выносит одно из решений: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 признании жалобы или апелляции необоснованной и соответственно ее отклонении;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 признании жалобы или апелляции обоснованной.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признания жалобы или апелляции обоснованной, диагностический центр должен провести технический осмотр транспортного средства в соответствии с настоящим Порядком.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Эксплуатант может обжаловать решение Комиссии по жалобам и апелляциям или действия диагностического центра в судебном порядке.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Диагностический центр несет ответственность за ненадлежащее исполнение своих функций при проведении технического осмотра, несоблюдение требований технических регламентов и совершение противоправных действий (бездействия) в соответствии со </w:t>
      </w:r>
      <w:hyperlink w:history="1" r:id="rIdcsdxt59ascde2y89xtov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183</w:t>
        </w:r>
      </w:hyperlink>
      <w:r>
        <w:rPr>
          <w:rFonts w:ascii="Arial" w:cs="Arial" w:eastAsia="Arial" w:hAnsi="Arial"/>
          <w:sz w:val="24"/>
          <w:szCs w:val="24"/>
        </w:rPr>
        <w:t xml:space="preserve"> Кодекса Кыргызской Республики о правонарушениях.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8177"/>
        <w:gridCol w:w="2001"/>
      </w:tblGrid>
      <w:tr>
        <w:tc>
          <w:tcPr>
            <w:tcW w:type="dxa" w:w="81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___________________________________________________________
 наименование диагностического центра, адрес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ЗАЯВКА
 на проведение технического осмотра транспортного средства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_____________________________________________________________________________________
                                наименование эксплуатанта ТС, ИНН или номер регистрационного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                   документа индивидуального предпринимателя, свидетельства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                                    о государственной регистрации, фио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юридический адрес ______________________________________________________________________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телефон ________________________________ e-mail 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Прошу провести технический осмотр (далее - ТО)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транспортного средства: __________________________________________________________________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                                                             (наименование, марка машины)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регистрационный знак: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 _______________________ серия ______________________ номер 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 выпуска ____________________________________________________________________________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Заводской номер, идентификационный номер (VIN или PIN);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номер двигателя ________________________________________________________________________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Документы, подтверждающие право собственности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 ТО машины доверяется провести (при необходимости): 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             (фамилия, имя, отчество (при наличии), должность, наименование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        документа, удостоверяющего личность, серия, номер, когда и кем выдан)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М.П.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 По результатам ТО машины получены: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Печать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"____" __________________ 20__ г.</w:t>
            </w:r>
          </w:p>
        </w:tc>
        <w:tc>
          <w:tcPr>
            <w:tcW w:type="dxa" w:w="200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ОПИСАНИЕ И ОБРАЗЕЦ
 талона о прохождении технического осмотра транспортного средства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Бланк талона о прохождении технического осмотра (далее - бланк) имеет прямоугольную форму размером 73 мм </w:t>
      </w:r>
      <w:r>
        <w:rPr>
          <w:rFonts w:ascii="Arial" w:cs="Arial" w:eastAsia="Arial" w:hAnsi="Arial"/>
          <w:sz w:val="24"/>
          <w:szCs w:val="24"/>
        </w:rPr>
        <w:t xml:space="preserve">⨯</w:t>
      </w:r>
      <w:r>
        <w:rPr>
          <w:rFonts w:ascii="Arial" w:cs="Arial" w:eastAsia="Arial" w:hAnsi="Arial"/>
          <w:sz w:val="24"/>
          <w:szCs w:val="24"/>
        </w:rPr>
        <w:t xml:space="preserve"> 105 мм и изготавливается из бумаги серого цвета с видимыми элементами защиты в виде тонгирной сетки с четырехкрасочной печатью, плотностью не менее 250 г/м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Описание лицевой стороны бланка.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верхнем поле бланка помещается надпись на государственном и официальном языках: "КЫРГЫЗ РЕСПУБЛИКАСЫ КЫРГЫЗСКАЯ РЕСПУБЛИКА", выполненная микрошрифтом.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Ниже данной надписи в средней части бланка помещается изображение Государственного герба Кыргызской Республики диаметром 13 мм.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Параллельно изображению Государственного герба Кыргызской Республики, в правом углу на бланк наклеивается голографическая марка, имеющая не менее трех степеней защиты, с изображением аббревиатуры "KGZ".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Ниже изображения Государственного герба Кыргызской Республики и голографической марки помещается наименование бланка, выполненное типографским способом, на государственном и официальном языках и помещается его порядковый номер, состоящий из семи цифр: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"Техникалык кароодон </w:t>
      </w:r>
      <w:r>
        <w:rPr>
          <w:rFonts w:ascii="Arial" w:cs="Arial" w:eastAsia="Arial" w:hAnsi="Arial"/>
          <w:sz w:val="24"/>
          <w:szCs w:val="24"/>
        </w:rPr>
        <w:t xml:space="preserve">ө</w:t>
      </w:r>
      <w:r>
        <w:rPr>
          <w:rFonts w:ascii="Arial" w:cs="Arial" w:eastAsia="Arial" w:hAnsi="Arial"/>
          <w:sz w:val="24"/>
          <w:szCs w:val="24"/>
        </w:rPr>
        <w:t xml:space="preserve">тк</w:t>
      </w:r>
      <w:r>
        <w:rPr>
          <w:rFonts w:ascii="Arial" w:cs="Arial" w:eastAsia="Arial" w:hAnsi="Arial"/>
          <w:sz w:val="24"/>
          <w:szCs w:val="24"/>
        </w:rPr>
        <w:t xml:space="preserve">ө</w:t>
      </w:r>
      <w:r>
        <w:rPr>
          <w:rFonts w:ascii="Arial" w:cs="Arial" w:eastAsia="Arial" w:hAnsi="Arial"/>
          <w:sz w:val="24"/>
          <w:szCs w:val="24"/>
        </w:rPr>
        <w:t xml:space="preserve">нд</w:t>
      </w:r>
      <w:r>
        <w:rPr>
          <w:rFonts w:ascii="Arial" w:cs="Arial" w:eastAsia="Arial" w:hAnsi="Arial"/>
          <w:sz w:val="24"/>
          <w:szCs w:val="24"/>
        </w:rPr>
        <w:t xml:space="preserve">ү</w:t>
      </w:r>
      <w:r>
        <w:rPr>
          <w:rFonts w:ascii="Arial" w:cs="Arial" w:eastAsia="Arial" w:hAnsi="Arial"/>
          <w:sz w:val="24"/>
          <w:szCs w:val="24"/>
        </w:rPr>
        <w:t xml:space="preserve">г</w:t>
      </w:r>
      <w:r>
        <w:rPr>
          <w:rFonts w:ascii="Arial" w:cs="Arial" w:eastAsia="Arial" w:hAnsi="Arial"/>
          <w:sz w:val="24"/>
          <w:szCs w:val="24"/>
        </w:rPr>
        <w:t xml:space="preserve">ү</w:t>
      </w:r>
      <w:r>
        <w:rPr>
          <w:rFonts w:ascii="Arial" w:cs="Arial" w:eastAsia="Arial" w:hAnsi="Arial"/>
          <w:sz w:val="24"/>
          <w:szCs w:val="24"/>
        </w:rPr>
        <w:t xml:space="preserve"> тууралуу талон/№ 000000/Талон о прохождении технического осмотра".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Ниже наименования бланка помещается текст, выполненный типографским способом на государственном и официальном языках: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"Ээси (аты-ж</w:t>
      </w:r>
      <w:r>
        <w:rPr>
          <w:rFonts w:ascii="Arial" w:cs="Arial" w:eastAsia="Arial" w:hAnsi="Arial"/>
          <w:sz w:val="24"/>
          <w:szCs w:val="24"/>
        </w:rPr>
        <w:t xml:space="preserve">ө</w:t>
      </w:r>
      <w:r>
        <w:rPr>
          <w:rFonts w:ascii="Arial" w:cs="Arial" w:eastAsia="Arial" w:hAnsi="Arial"/>
          <w:sz w:val="24"/>
          <w:szCs w:val="24"/>
        </w:rPr>
        <w:t xml:space="preserve">н</w:t>
      </w:r>
      <w:r>
        <w:rPr>
          <w:rFonts w:ascii="Arial" w:cs="Arial" w:eastAsia="Arial" w:hAnsi="Arial"/>
          <w:sz w:val="24"/>
          <w:szCs w:val="24"/>
        </w:rPr>
        <w:t xml:space="preserve">ү</w:t>
      </w:r>
      <w:r>
        <w:rPr>
          <w:rFonts w:ascii="Arial" w:cs="Arial" w:eastAsia="Arial" w:hAnsi="Arial"/>
          <w:sz w:val="24"/>
          <w:szCs w:val="24"/>
        </w:rPr>
        <w:t xml:space="preserve">)/Владелец (ФИО)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Маркасы (</w:t>
      </w:r>
      <w:r>
        <w:rPr>
          <w:rFonts w:ascii="Arial" w:cs="Arial" w:eastAsia="Arial" w:hAnsi="Arial"/>
          <w:sz w:val="24"/>
          <w:szCs w:val="24"/>
        </w:rPr>
        <w:t xml:space="preserve">ү</w:t>
      </w:r>
      <w:r>
        <w:rPr>
          <w:rFonts w:ascii="Arial" w:cs="Arial" w:eastAsia="Arial" w:hAnsi="Arial"/>
          <w:sz w:val="24"/>
          <w:szCs w:val="24"/>
        </w:rPr>
        <w:t xml:space="preserve">лг</w:t>
      </w:r>
      <w:r>
        <w:rPr>
          <w:rFonts w:ascii="Arial" w:cs="Arial" w:eastAsia="Arial" w:hAnsi="Arial"/>
          <w:sz w:val="24"/>
          <w:szCs w:val="24"/>
        </w:rPr>
        <w:t xml:space="preserve">ү</w:t>
      </w:r>
      <w:r>
        <w:rPr>
          <w:rFonts w:ascii="Arial" w:cs="Arial" w:eastAsia="Arial" w:hAnsi="Arial"/>
          <w:sz w:val="24"/>
          <w:szCs w:val="24"/>
        </w:rPr>
        <w:t xml:space="preserve">с</w:t>
      </w:r>
      <w:r>
        <w:rPr>
          <w:rFonts w:ascii="Arial" w:cs="Arial" w:eastAsia="Arial" w:hAnsi="Arial"/>
          <w:sz w:val="24"/>
          <w:szCs w:val="24"/>
        </w:rPr>
        <w:t xml:space="preserve">ү</w:t>
      </w:r>
      <w:r>
        <w:rPr>
          <w:rFonts w:ascii="Arial" w:cs="Arial" w:eastAsia="Arial" w:hAnsi="Arial"/>
          <w:sz w:val="24"/>
          <w:szCs w:val="24"/>
        </w:rPr>
        <w:t xml:space="preserve">)/(Марка (модель)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Мамлекеттик номери/Государственный номер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Чыккан жылы/Год выпуска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Аккредитация аттестатынын номери/Номер аттестата аккредитации/№".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Описание оборотной стороны бланка.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верхнем поле бланка располагается надпись на государственном и официальном языках: "КЫРГЫЗ РЕСПУБЛИКАСЫ КЫРГЫЗСКАЯ РЕСПУБЛИКА", выполненная микрошрифтом.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Ниже данной надписи помещается текст, выполненный типографским способом на государственном и официальном языках: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"Шассинин жана кузовдун номерлери/Номера кузова и шасси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Техникалык кароодон </w:t>
      </w:r>
      <w:r>
        <w:rPr>
          <w:rFonts w:ascii="Arial" w:cs="Arial" w:eastAsia="Arial" w:hAnsi="Arial"/>
          <w:sz w:val="24"/>
          <w:szCs w:val="24"/>
        </w:rPr>
        <w:t xml:space="preserve">ө</w:t>
      </w:r>
      <w:r>
        <w:rPr>
          <w:rFonts w:ascii="Arial" w:cs="Arial" w:eastAsia="Arial" w:hAnsi="Arial"/>
          <w:sz w:val="24"/>
          <w:szCs w:val="24"/>
        </w:rPr>
        <w:t xml:space="preserve">тк</w:t>
      </w:r>
      <w:r>
        <w:rPr>
          <w:rFonts w:ascii="Arial" w:cs="Arial" w:eastAsia="Arial" w:hAnsi="Arial"/>
          <w:sz w:val="24"/>
          <w:szCs w:val="24"/>
        </w:rPr>
        <w:t xml:space="preserve">ө</w:t>
      </w:r>
      <w:r>
        <w:rPr>
          <w:rFonts w:ascii="Arial" w:cs="Arial" w:eastAsia="Arial" w:hAnsi="Arial"/>
          <w:sz w:val="24"/>
          <w:szCs w:val="24"/>
        </w:rPr>
        <w:t xml:space="preserve">н датасы жана колдонуу м</w:t>
      </w:r>
      <w:r>
        <w:rPr>
          <w:rFonts w:ascii="Arial" w:cs="Arial" w:eastAsia="Arial" w:hAnsi="Arial"/>
          <w:sz w:val="24"/>
          <w:szCs w:val="24"/>
        </w:rPr>
        <w:t xml:space="preserve">өө</w:t>
      </w:r>
      <w:r>
        <w:rPr>
          <w:rFonts w:ascii="Arial" w:cs="Arial" w:eastAsia="Arial" w:hAnsi="Arial"/>
          <w:sz w:val="24"/>
          <w:szCs w:val="24"/>
        </w:rPr>
        <w:t xml:space="preserve">н</w:t>
      </w:r>
      <w:r>
        <w:rPr>
          <w:rFonts w:ascii="Arial" w:cs="Arial" w:eastAsia="Arial" w:hAnsi="Arial"/>
          <w:sz w:val="24"/>
          <w:szCs w:val="24"/>
        </w:rPr>
        <w:t xml:space="preserve">ө</w:t>
      </w:r>
      <w:r>
        <w:rPr>
          <w:rFonts w:ascii="Arial" w:cs="Arial" w:eastAsia="Arial" w:hAnsi="Arial"/>
          <w:sz w:val="24"/>
          <w:szCs w:val="24"/>
        </w:rPr>
        <w:t xml:space="preserve">т</w:t>
      </w:r>
      <w:r>
        <w:rPr>
          <w:rFonts w:ascii="Arial" w:cs="Arial" w:eastAsia="Arial" w:hAnsi="Arial"/>
          <w:sz w:val="24"/>
          <w:szCs w:val="24"/>
        </w:rPr>
        <w:t xml:space="preserve">ү</w:t>
      </w:r>
      <w:r>
        <w:rPr>
          <w:rFonts w:ascii="Arial" w:cs="Arial" w:eastAsia="Arial" w:hAnsi="Arial"/>
          <w:sz w:val="24"/>
          <w:szCs w:val="24"/>
        </w:rPr>
        <w:t xml:space="preserve">/Дата прохождения технического осмотра и срок действия".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Ниже указанного текста помещается таблица, состоящая из четырех столбцов и двух строк.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столбцах верхней строки расположен текст, выполненный типографским способом на государственном и официальном языках: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"Айы/жылы/Месяц/год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Колдонуу м</w:t>
      </w:r>
      <w:r>
        <w:rPr>
          <w:rFonts w:ascii="Arial" w:cs="Arial" w:eastAsia="Arial" w:hAnsi="Arial"/>
          <w:sz w:val="24"/>
          <w:szCs w:val="24"/>
        </w:rPr>
        <w:t xml:space="preserve">өө</w:t>
      </w:r>
      <w:r>
        <w:rPr>
          <w:rFonts w:ascii="Arial" w:cs="Arial" w:eastAsia="Arial" w:hAnsi="Arial"/>
          <w:sz w:val="24"/>
          <w:szCs w:val="24"/>
        </w:rPr>
        <w:t xml:space="preserve">н</w:t>
      </w:r>
      <w:r>
        <w:rPr>
          <w:rFonts w:ascii="Arial" w:cs="Arial" w:eastAsia="Arial" w:hAnsi="Arial"/>
          <w:sz w:val="24"/>
          <w:szCs w:val="24"/>
        </w:rPr>
        <w:t xml:space="preserve">ө</w:t>
      </w:r>
      <w:r>
        <w:rPr>
          <w:rFonts w:ascii="Arial" w:cs="Arial" w:eastAsia="Arial" w:hAnsi="Arial"/>
          <w:sz w:val="24"/>
          <w:szCs w:val="24"/>
        </w:rPr>
        <w:t xml:space="preserve">т</w:t>
      </w:r>
      <w:r>
        <w:rPr>
          <w:rFonts w:ascii="Arial" w:cs="Arial" w:eastAsia="Arial" w:hAnsi="Arial"/>
          <w:sz w:val="24"/>
          <w:szCs w:val="24"/>
        </w:rPr>
        <w:t xml:space="preserve">ү</w:t>
      </w:r>
      <w:r>
        <w:rPr>
          <w:rFonts w:ascii="Arial" w:cs="Arial" w:eastAsia="Arial" w:hAnsi="Arial"/>
          <w:sz w:val="24"/>
          <w:szCs w:val="24"/>
        </w:rPr>
        <w:t xml:space="preserve">/Срок действия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</w:t>
      </w:r>
      <w:r>
        <w:rPr>
          <w:rFonts w:ascii="Arial" w:cs="Arial" w:eastAsia="Arial" w:hAnsi="Arial"/>
          <w:sz w:val="24"/>
          <w:szCs w:val="24"/>
        </w:rPr>
        <w:t xml:space="preserve">өө</w:t>
      </w:r>
      <w:r>
        <w:rPr>
          <w:rFonts w:ascii="Arial" w:cs="Arial" w:eastAsia="Arial" w:hAnsi="Arial"/>
          <w:sz w:val="24"/>
          <w:szCs w:val="24"/>
        </w:rPr>
        <w:t xml:space="preserve">р/печать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Кол тамгасы/Подпись".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Лицевая сторона бланка (образец)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 РЕСПУБЛИКАСЫ
 КЫРГЫЗСКАЯ РЕСПУБЛИКА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Ээси (аты-ж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ө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ү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 ______________________________________________________________________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Владелец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Маркасы 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ү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лг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ү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ү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 _____________________________________________________________________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(Марка (модель))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Мамлекеттик номери __________________________________________________________________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номер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Чыккан жылы ________________________________________________________________________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 выпуска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Аккредитация аттестатынын номери № __________________________________________________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Номер аттестата аккредитации</w:t>
            </w:r>
          </w:p>
        </w:tc>
      </w:tr>
    </w:tbl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Оборотная сторона бланка (образец)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 РЕСПУБЛИКАСЫ КЫРГЫЗСКАЯ РЕСПУБЛИКА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Шассинин жана кузовдун номерлери ______________________________________________________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Номера кузова и шасси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Техникалык кароодон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ө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тк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ө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 датасы жана колдонуу 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өө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ө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ү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 прохождения технического осмотра и срок действия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qfjov59y6lreelkgcrh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dalil.kg/document/160314</w:t>
      </w:r>
    </w:hyperlink>
  </w:p>
  <w:p>
    <w:pPr>
      <w:spacing w:after="0" w:before="40"/>
      <w:jc w:val="center"/>
    </w:pPr>
    <w:hyperlink w:history="1" r:id="rId_zn33q2djl59x_jhq6m4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svrpxfngvbmlfpvkyk7g" Type="http://schemas.openxmlformats.org/officeDocument/2006/relationships/hyperlink" Target="https://dalil.kg/document/160306" TargetMode="External"/><Relationship Id="rIddivv-b9ndxg0i09tiev0n" Type="http://schemas.openxmlformats.org/officeDocument/2006/relationships/hyperlink" Target="https://dalil.kg/document/160314#pr1" TargetMode="External"/><Relationship Id="rIdgs8p6bybsohlexkqjvtoi" Type="http://schemas.openxmlformats.org/officeDocument/2006/relationships/hyperlink" Target="https://dalil.kg/document/160314#pr2" TargetMode="External"/><Relationship Id="rIdcsdxt59ascde2y89xtovv" Type="http://schemas.openxmlformats.org/officeDocument/2006/relationships/hyperlink" Target="https://dalil.kg/document/112306#st_183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qfjov59y6lreelkgcrhk" Type="http://schemas.openxmlformats.org/officeDocument/2006/relationships/hyperlink" Target="https://dalil.kg/document/160314" TargetMode="External"/><Relationship Id="rId_zn33q2djl59x_jhq6m4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2026-09-24T16:56:14.383Z</dcterms:created>
  <dcterms:modified xsi:type="dcterms:W3CDTF">2026-09-24T16:56:14.383Z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