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августа 2023 года № 409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вопросах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В целях реализации </w:t>
      </w:r>
      <w:hyperlink w:history="1" r:id="rIdtpdeqmordoaqgffeemgxa">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Кабинета Министров Кыргызской Республики на 2023 год, утвержденного </w:t>
      </w:r>
      <w:hyperlink w:history="1" r:id="rIdjf6wj6fcatfetu1vmy6n3">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29 декабря 2022 года № 699-р, в соответствии со статьями </w:t>
      </w:r>
      <w:hyperlink w:history="1" r:id="rIdinmwchiew5igdcm7nkav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wyd7roukel27lndhfsfrq">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формат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 согласно </w:t>
      </w:r>
      <w:hyperlink w:history="1" r:id="rId3ypjlqeck6kqm4cqlcua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Определить Государственное агентство по управлению государственным имуществом при Кабинете Министров Кыргызской Республики уполномоченным государственным органом по сбору и составлению периодической сводной отчетности государственных предприятий, хозяйственных обществ с государственной долей участия в уставном капитале, в том числе права акционера которых осуществляют и иные государственные органы власти.</w:t>
      </w:r>
    </w:p>
    <w:p>
      <w:pPr>
        <w:spacing w:after="120"/>
        <w:jc w:val="both"/>
      </w:pPr>
      <w:r>
        <w:rPr>
          <w:rFonts w:ascii="Arial" w:cs="Arial" w:eastAsia="Arial" w:hAnsi="Arial"/>
          <w:sz w:val="24"/>
          <w:szCs w:val="24"/>
        </w:rPr>
        <w:t xml:space="preserve">3. Государственным органам, осуществляющим функции акционера от имени государства в хозяйственных обществах с государственной долей участия, а также государственным органам, осуществляющим функции государственного управляющего органа государственного предприятия, Управлению делами Президента Кыргызской Республики ежегодно, до 10 мая года, следующего за отчетным годом, обеспечить предоставление курируемыми государственными предприятиями и хозяйственными обществами с государственной долей участия в уставном капитале отчетности (согласно приложению) в уполномоченный государственный орган по сбору и составлению периодической сводной отчетности.</w:t>
      </w:r>
    </w:p>
    <w:p>
      <w:pPr>
        <w:spacing w:after="120"/>
        <w:jc w:val="both"/>
      </w:pPr>
      <w:r>
        <w:rPr>
          <w:rFonts w:ascii="Arial" w:cs="Arial" w:eastAsia="Arial" w:hAnsi="Arial"/>
          <w:sz w:val="24"/>
          <w:szCs w:val="24"/>
        </w:rPr>
        <w:t xml:space="preserve">4. Государственному агентству по управлению государственным имуществом при Кабинете Министров Кыргызской Республики по итогам сбора отчетности (согласно приложению) ежегодно, до 10 июля года, следующего за отчетным годом, размещать на официальном сайте информацию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5. Настоящее постановление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августа 2023 года № 67 (3516)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Формат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w:t>
      </w:r>
    </w:p>
    <w:p>
      <w:pPr>
        <w:spacing w:before="400"/>
        <w:jc w:val="center"/>
      </w:pPr>
      <w:r>
        <w:rPr>
          <w:rFonts w:ascii="Arial" w:cs="Arial" w:eastAsia="Arial" w:hAnsi="Arial"/>
          <w:b/>
          <w:bCs/>
          <w:sz w:val="32"/>
          <w:szCs w:val="32"/>
        </w:rPr>
        <w:t xml:space="preserve">ИНФОРМАЦИЯ
 о результатах финансово-хозяйственной деятельности</w:t>
      </w:r>
    </w:p>
    <w:p>
      <w:pPr>
        <w:spacing w:after="60"/>
        <w:jc w:val="center"/>
      </w:pPr>
      <w:r>
        <w:rPr>
          <w:rFonts w:ascii="Arial" w:cs="Arial" w:eastAsia="Arial" w:hAnsi="Arial"/>
          <w:sz w:val="24"/>
          <w:szCs w:val="24"/>
        </w:rPr>
        <w:t xml:space="preserve">___________________________________________________________
 (фирменное наименование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8028"/>
        <w:gridCol w:w="1665"/>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юридическом лице</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образования (решение о создании)</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вид деятельности</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Устава (номер и дата документа, которым был утвержден Устав)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 (для хозяйственных обществ), тыс. сом</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управляющего органа (для государственных предприятий) или акционера от имени государства (для хозяйственных обществ)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акционера (для хозяйственных обществ)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должность, ФИО, решение о назначении, контактные данные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Совета директоров (для хозяйственных обществ, при наличии): ФИО, решение о назначении, контактные данные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веб-сайта</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center"/>
      </w:pPr>
      <w:r>
        <w:rPr>
          <w:rFonts w:ascii="Arial" w:cs="Arial" w:eastAsia="Arial" w:hAnsi="Arial"/>
          <w:b/>
          <w:bCs/>
          <w:sz w:val="32"/>
          <w:szCs w:val="32"/>
        </w:rPr>
        <w:t xml:space="preserve">Основные финансово-хозяйственные показатели:</w:t>
      </w:r>
    </w:p>
    <w:p>
      <w:pPr>
        <w:spacing w:after="60"/>
        <w:jc w:val="center"/>
      </w:pPr>
      <w:r>
        <w:rPr>
          <w:rFonts w:ascii="Arial" w:cs="Arial" w:eastAsia="Arial" w:hAnsi="Arial"/>
          <w:sz w:val="24"/>
          <w:szCs w:val="24"/>
        </w:rPr>
        <w:t xml:space="preserve">(за последние три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2410"/>
        <w:gridCol w:w="1194"/>
        <w:gridCol w:w="1194"/>
        <w:gridCol w:w="1194"/>
        <w:gridCol w:w="1194"/>
        <w:gridCol w:w="1194"/>
        <w:gridCol w:w="1194"/>
      </w:tblGrid>
      <w:tr>
        <w:tc>
          <w:tcPr>
            <w:tcW w:type="dxa" w:w="6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перед предыдущим годом</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перед отчетным</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от операционной деятельности,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Себестоимость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неоперационной деятельности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неоперационной деятельности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EBITA (Earnings before interest, taxes and amortization) - аналитический показатель начисленных процентов, налогов и прибыли до вычета расходов по уплате амортизации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до уплаты налога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 убыток (-)</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без учета налога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 налогов (в том числе налог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 Социальный фонд</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зданий, сооружений</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выкуп земли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 и др. оргтехники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и оборудования</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капитальные расходы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численность работников, чел.</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оплаты труда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персонала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производственные показатели на отчетный период</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Перечислена часть чистой прибыли (для государственных предприятий) сумма дивидендов (для хозяйственных обществ)</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 202__ г.</w:t>
      </w:r>
    </w:p>
    <w:p>
      <w:pPr>
        <w:spacing w:before="400"/>
        <w:jc w:val="center"/>
      </w:pPr>
      <w:r>
        <w:rPr>
          <w:rFonts w:ascii="Arial" w:cs="Arial" w:eastAsia="Arial" w:hAnsi="Arial"/>
          <w:b/>
          <w:bCs/>
          <w:sz w:val="32"/>
          <w:szCs w:val="32"/>
        </w:rPr>
        <w:t xml:space="preserve">Ежегодный отчет для представления в уполномоченный государственный орган по сбору и составлению периодической сводной отчетности</w:t>
      </w:r>
    </w:p>
    <w:p>
      <w:pPr>
        <w:spacing w:after="60"/>
        <w:jc w:val="center"/>
      </w:pPr>
      <w:r>
        <w:rPr>
          <w:rFonts w:ascii="Arial" w:cs="Arial" w:eastAsia="Arial" w:hAnsi="Arial"/>
          <w:sz w:val="24"/>
          <w:szCs w:val="24"/>
        </w:rPr>
        <w:t xml:space="preserve">___________________________________________________________
 (фирменное наименование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173"/>
        <w:gridCol w:w="558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Показатель/характеристика</w:t>
            </w:r>
          </w:p>
        </w:tc>
        <w:tc>
          <w:tcPr>
            <w:tcW w:type="dxa" w:w="5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Уставные функции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функции, предусмотренные уставом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выполняемые функции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конкретные осуществляемые виды деятельности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производимых товаров (предоставляемых работ/оказываемых услуг) и конечных потребителей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производимых товаров, предоставляемых/оказываемых работ/услуг и структура рынка сбыта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на рынке товаров (работ/услуг), способных заменить производимые государственным предприятием/хозяйственным обществом товары (работы/услуги)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конкурентной среды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государственных заказов в общем объеме производимых товаров (работ/услуг)</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Практика участия в тендерах, проводимых государственными органами, государственными учреждениями.</w:t>
            </w:r>
          </w:p>
          <w:p>
            <w:pPr>
              <w:jc w:val="left"/>
            </w:pPr>
            <w:r>
              <w:rPr>
                <w:rFonts w:ascii="Arial" w:cs="Arial" w:eastAsia="Arial" w:hAnsi="Arial"/>
                <w:sz w:val="24"/>
                <w:szCs w:val="24"/>
              </w:rPr>
              <w:t xml:space="preserve">Доля (в % и денежном выражении) государственных заказов в общем объеме производимых товаров (работ/услуг).</w:t>
            </w:r>
          </w:p>
          <w:p>
            <w:pPr>
              <w:jc w:val="left"/>
            </w:pPr>
            <w:r>
              <w:rPr>
                <w:rFonts w:ascii="Arial" w:cs="Arial" w:eastAsia="Arial" w:hAnsi="Arial"/>
                <w:sz w:val="24"/>
                <w:szCs w:val="24"/>
              </w:rPr>
              <w:t xml:space="preserve">Осуществляется ли государственным управляющим органом прямой заказ на производство товаров, выполнение работ/услуг</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и краткое описание доходоприносящей деятельности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Полное/частичное прямое финансирование из республиканского бюджета, характер и цели трансфертов из бюджета.</w:t>
            </w:r>
          </w:p>
          <w:p>
            <w:pPr>
              <w:jc w:val="left"/>
            </w:pPr>
            <w:r>
              <w:rPr>
                <w:rFonts w:ascii="Arial" w:cs="Arial" w:eastAsia="Arial" w:hAnsi="Arial"/>
                <w:sz w:val="24"/>
                <w:szCs w:val="24"/>
              </w:rPr>
              <w:t xml:space="preserve">Наличие субсидий из республиканского бюджета, бюджетных кредитов, кредитов.</w:t>
            </w:r>
          </w:p>
          <w:p>
            <w:pPr>
              <w:jc w:val="left"/>
            </w:pPr>
            <w:r>
              <w:rPr>
                <w:rFonts w:ascii="Arial" w:cs="Arial" w:eastAsia="Arial" w:hAnsi="Arial"/>
                <w:sz w:val="24"/>
                <w:szCs w:val="24"/>
              </w:rPr>
              <w:t xml:space="preserve">Донорская/грантовая помощь.</w:t>
            </w:r>
          </w:p>
          <w:p>
            <w:pPr>
              <w:jc w:val="left"/>
            </w:pPr>
            <w:r>
              <w:rPr>
                <w:rFonts w:ascii="Arial" w:cs="Arial" w:eastAsia="Arial" w:hAnsi="Arial"/>
                <w:sz w:val="24"/>
                <w:szCs w:val="24"/>
              </w:rPr>
              <w:t xml:space="preserve">Осуществление коммерческой деятельности (производство, сбыт и реализация продукции, оказание платных услуг/работ)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государственных преференций/льгот</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имеются ли нормативно закрепленные или принятые Кабинетом Министров/государственным управляющим органом преференции/льготы (предоставление исключительных, эксклюзивных полномочий, гарантий, государственная поддержка)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реализации государственных, международных программ и проектов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наименование реализуемой государственной, международной программы/проекта, роль и степень участия в реализации программы/проекта, сроки и источники финансирования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Реализуемые/планируемые инвестиционные проекты (ГЧП проекты)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реализуемых/планируемых инвестиционных проектов, ГЧП и других коммерческих проектов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крупных сделках по осуществленным закупкам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Корпоративное управление: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органов управления</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членов исполнительного органа и Совета директоров (при наличии), решение о назначении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проведенных заседаниях Совета директоров и принятых решениях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представленности в органах управления:</w:t>
            </w:r>
          </w:p>
          <w:p>
            <w:pPr>
              <w:jc w:val="left"/>
            </w:pPr>
            <w:r>
              <w:rPr>
                <w:rFonts w:ascii="Arial" w:cs="Arial" w:eastAsia="Arial" w:hAnsi="Arial"/>
                <w:sz w:val="24"/>
                <w:szCs w:val="24"/>
              </w:rPr>
              <w:t xml:space="preserve">- по гендерному балансу;</w:t>
            </w:r>
          </w:p>
          <w:p>
            <w:pPr>
              <w:jc w:val="left"/>
            </w:pPr>
            <w:r>
              <w:rPr>
                <w:rFonts w:ascii="Arial" w:cs="Arial" w:eastAsia="Arial" w:hAnsi="Arial"/>
                <w:sz w:val="24"/>
                <w:szCs w:val="24"/>
              </w:rPr>
              <w:t xml:space="preserve">- по количеству независимых директоров;</w:t>
            </w:r>
          </w:p>
          <w:p>
            <w:pPr>
              <w:jc w:val="left"/>
            </w:pPr>
            <w:r>
              <w:rPr>
                <w:rFonts w:ascii="Arial" w:cs="Arial" w:eastAsia="Arial" w:hAnsi="Arial"/>
                <w:sz w:val="24"/>
                <w:szCs w:val="24"/>
              </w:rPr>
              <w:t xml:space="preserve">- по образованию и опыту работы (в зависимости от отрасли)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порядке определения вознаграждения членов органов управления и фактический размер вознаграждения</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соблюдении требований Международные стандарты финансовой отчетности, национальных стандартов отчетности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сотрудниках: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сотрудников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представленности в штате:</w:t>
            </w:r>
          </w:p>
          <w:p>
            <w:pPr>
              <w:jc w:val="left"/>
            </w:pPr>
            <w:r>
              <w:rPr>
                <w:rFonts w:ascii="Arial" w:cs="Arial" w:eastAsia="Arial" w:hAnsi="Arial"/>
                <w:sz w:val="24"/>
                <w:szCs w:val="24"/>
              </w:rPr>
              <w:t xml:space="preserve">- по гендерному балансу;</w:t>
            </w:r>
          </w:p>
          <w:p>
            <w:pPr>
              <w:jc w:val="left"/>
            </w:pPr>
            <w:r>
              <w:rPr>
                <w:rFonts w:ascii="Arial" w:cs="Arial" w:eastAsia="Arial" w:hAnsi="Arial"/>
                <w:sz w:val="24"/>
                <w:szCs w:val="24"/>
              </w:rPr>
              <w:t xml:space="preserve">- по образованию и опыту работы (в зависимости от отрасли);</w:t>
            </w:r>
          </w:p>
          <w:p>
            <w:pPr>
              <w:jc w:val="left"/>
            </w:pPr>
            <w:r>
              <w:rPr>
                <w:rFonts w:ascii="Arial" w:cs="Arial" w:eastAsia="Arial" w:hAnsi="Arial"/>
                <w:sz w:val="24"/>
                <w:szCs w:val="24"/>
              </w:rPr>
              <w:t xml:space="preserve">- по иным критериям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листинге на кыргызской фондовой бирже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проведенных общих собраниях акционеров и принятых решениях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Приложение:</w:t>
      </w:r>
    </w:p>
    <w:p>
      <w:pPr>
        <w:spacing w:after="60"/>
        <w:ind w:firstLine="567"/>
        <w:jc w:val="both"/>
      </w:pPr>
      <w:r>
        <w:rPr>
          <w:rFonts w:ascii="Arial" w:cs="Arial" w:eastAsia="Arial" w:hAnsi="Arial"/>
          <w:sz w:val="24"/>
          <w:szCs w:val="24"/>
        </w:rPr>
        <w:t xml:space="preserve">1. Утвержденный бизнес-план/программа/стратегия развития предприятия.</w:t>
      </w:r>
    </w:p>
    <w:p>
      <w:pPr>
        <w:spacing w:after="60"/>
        <w:ind w:firstLine="567"/>
        <w:jc w:val="both"/>
      </w:pPr>
      <w:r>
        <w:rPr>
          <w:rFonts w:ascii="Arial" w:cs="Arial" w:eastAsia="Arial" w:hAnsi="Arial"/>
          <w:sz w:val="24"/>
          <w:szCs w:val="24"/>
        </w:rPr>
        <w:t xml:space="preserve">2. Структура и штатное расписание.</w:t>
      </w:r>
    </w:p>
    <w:p>
      <w:pPr>
        <w:spacing w:after="60"/>
        <w:ind w:firstLine="567"/>
        <w:jc w:val="both"/>
      </w:pPr>
      <w:r>
        <w:rPr>
          <w:rFonts w:ascii="Arial" w:cs="Arial" w:eastAsia="Arial" w:hAnsi="Arial"/>
          <w:sz w:val="24"/>
          <w:szCs w:val="24"/>
        </w:rPr>
        <w:t xml:space="preserve">3. Утвержденный прейскурант цен/тарификация/политика ценообразования.</w:t>
      </w:r>
    </w:p>
    <w:p>
      <w:pPr>
        <w:spacing w:after="60"/>
        <w:ind w:firstLine="567"/>
        <w:jc w:val="both"/>
      </w:pPr>
      <w:r>
        <w:rPr>
          <w:rFonts w:ascii="Arial" w:cs="Arial" w:eastAsia="Arial" w:hAnsi="Arial"/>
          <w:sz w:val="24"/>
          <w:szCs w:val="24"/>
        </w:rPr>
        <w:t xml:space="preserve">4. Отчет о проделанной работе за 2022 год.</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 202__ г.</w:t>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5zjnajltx1k98wndxrw">
      <w:r>
        <w:rPr>
          <w:rFonts w:ascii="Arial" w:cs="Arial" w:eastAsia="Arial" w:hAnsi="Arial"/>
          <w:color w:val="132D3F"/>
          <w:sz w:val="16"/>
          <w:szCs w:val="16"/>
          <w:u w:val="single"/>
        </w:rPr>
        <w:t xml:space="preserve">dalil.kg/document/160379</w:t>
      </w:r>
    </w:hyperlink>
  </w:p>
  <w:p>
    <w:pPr>
      <w:spacing w:after="0" w:before="40"/>
      <w:jc w:val="center"/>
    </w:pPr>
    <w:hyperlink w:history="1" r:id="rIdwsnt7dgpj41flm6vlim9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pdeqmordoaqgffeemgxa" Type="http://schemas.openxmlformats.org/officeDocument/2006/relationships/hyperlink" Target="https://dalil.kg/document/219330#pr" TargetMode="External"/><Relationship Id="rIdjf6wj6fcatfetu1vmy6n3" Type="http://schemas.openxmlformats.org/officeDocument/2006/relationships/hyperlink" Target="https://dalil.kg/document/219330" TargetMode="External"/><Relationship Id="rIdinmwchiew5igdcm7nkavj" Type="http://schemas.openxmlformats.org/officeDocument/2006/relationships/hyperlink" Target="https://dalil.kg/document/112301#st_13" TargetMode="External"/><Relationship Id="rIdwyd7roukel27lndhfsfrq" Type="http://schemas.openxmlformats.org/officeDocument/2006/relationships/hyperlink" Target="https://dalil.kg/document/112301#st_17" TargetMode="External"/><Relationship Id="rId3ypjlqeck6kqm4cqlcuaz" Type="http://schemas.openxmlformats.org/officeDocument/2006/relationships/hyperlink" Target="https://dalil.kg/document/160379#pr"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5zjnajltx1k98wndxrw" Type="http://schemas.openxmlformats.org/officeDocument/2006/relationships/hyperlink" Target="https://dalil.kg/document/160379" TargetMode="External"/><Relationship Id="rIdwsnt7dgpj41flm6vlim9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2026-09-26T05:40:33.238Z</dcterms:created>
  <dcterms:modified xsi:type="dcterms:W3CDTF">2026-09-26T05:40:33.239Z</dcterms:modified>
</cp:coreProperties>
</file>

<file path=docProps/custom.xml><?xml version="1.0" encoding="utf-8"?>
<Properties xmlns="http://schemas.openxmlformats.org/officeDocument/2006/custom-properties" xmlns:vt="http://schemas.openxmlformats.org/officeDocument/2006/docPropsVTypes"/>
</file>