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hl8cdc59ohebppv7ydpvz">
        <w:r>
          <w:rPr>
            <w:rFonts w:ascii="Arial" w:cs="Arial" w:eastAsia="Arial" w:hAnsi="Arial"/>
            <w:b w:val="false"/>
            <w:bCs w:val="false"/>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(центральный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Техническое задание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ТЗ (результат I.b) определяет создание </w:t>
      </w:r>
      <w:r>
        <w:rPr>
          <w:rFonts w:ascii="Arial" w:cs="Arial" w:eastAsia="Arial" w:hAnsi="Arial"/>
          <w:b/>
          <w:bCs/>
          <w:sz w:val="24"/>
          <w:szCs w:val="24"/>
        </w:rPr>
        <w:t xml:space="preserve">эконометрической модели</w:t>
      </w:r>
      <w:r>
        <w:rPr>
          <w:rFonts w:ascii="Arial" w:cs="Arial" w:eastAsia="Arial" w:hAnsi="Arial"/>
          <w:sz w:val="24"/>
          <w:szCs w:val="24"/>
        </w:rPr>
        <w:t xml:space="preserve"> для прогнозирования доходов (краткосрочного, среднесрочного, долгосрочного) и базы данных, используемой в модели; инструкции по использованию и применению модели прогнозирования доходов (Руководство пользователя).</w:t>
      </w:r>
    </w:p>
    <w:p>
      <w:pPr>
        <w:spacing w:after="120"/>
        <w:jc w:val="both"/>
      </w:pPr>
      <w:r>
        <w:rPr>
          <w:rFonts w:ascii="Arial" w:cs="Arial" w:eastAsia="Arial" w:hAnsi="Arial"/>
          <w:sz w:val="24"/>
          <w:szCs w:val="24"/>
        </w:rPr>
        <w:t xml:space="preserve">Эконометрические модели определяют статистическую взаимосвязь, которая, как считается, существует между различными экономическими величинами, относящимися к конкретному экономическому явлению.</w:t>
      </w:r>
    </w:p>
    <w:p>
      <w:pPr>
        <w:spacing w:after="120"/>
        <w:jc w:val="both"/>
      </w:pPr>
      <w:r>
        <w:rPr>
          <w:rFonts w:ascii="Arial" w:cs="Arial" w:eastAsia="Arial" w:hAnsi="Arial"/>
          <w:sz w:val="24"/>
          <w:szCs w:val="24"/>
        </w:rPr>
        <w:t xml:space="preserve">Дополнительная информация о подходе к моделированию содержится в аналитическом отчете (результат I.a).</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Типы полученных моделей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ТЗ также установлены два критерия моделирования доходов: (1) временной горизонт и (2) уровень прогнозирования, используемый при моделировании:</w:t>
      </w:r>
    </w:p>
    <w:p>
      <w:pPr>
        <w:spacing w:after="120"/>
        <w:ind w:firstLine="708"/>
        <w:jc w:val="both"/>
      </w:pPr>
      <w:r>
        <w:rPr>
          <w:rFonts w:ascii="Arial" w:cs="Arial" w:eastAsia="Arial" w:hAnsi="Arial"/>
          <w:sz w:val="24"/>
          <w:szCs w:val="24"/>
        </w:rPr>
        <w:t xml:space="preserve">1) полученные модели проводят различие между:</w:t>
      </w:r>
    </w:p>
    <w:p>
      <w:pPr>
        <w:spacing w:after="120"/>
        <w:ind w:firstLine="708"/>
        <w:jc w:val="both"/>
      </w:pPr>
      <w:r>
        <w:rPr>
          <w:rFonts w:ascii="Arial" w:cs="Arial" w:eastAsia="Arial" w:hAnsi="Arial"/>
          <w:sz w:val="24"/>
          <w:szCs w:val="24"/>
        </w:rPr>
        <w:t xml:space="preserve">- среднесрочным или долгосрочным прогнозированием с целью получения финансирования или осуществления среднесрочных инвестиционных проектов;</w:t>
      </w:r>
    </w:p>
    <w:p>
      <w:pPr>
        <w:spacing w:after="120"/>
        <w:ind w:firstLine="708"/>
        <w:jc w:val="both"/>
      </w:pPr>
      <w:r>
        <w:rPr>
          <w:rFonts w:ascii="Arial" w:cs="Arial" w:eastAsia="Arial" w:hAnsi="Arial"/>
          <w:sz w:val="24"/>
          <w:szCs w:val="24"/>
        </w:rPr>
        <w:t xml:space="preserve">- долгосрочным прогнозированием (4 года и более) для крупномасштабных инвестиционных проектов или планирования;</w:t>
      </w:r>
    </w:p>
    <w:p>
      <w:pPr>
        <w:spacing w:after="120"/>
        <w:ind w:firstLine="708"/>
        <w:jc w:val="both"/>
      </w:pPr>
      <w:r>
        <w:rPr>
          <w:rFonts w:ascii="Arial" w:cs="Arial" w:eastAsia="Arial" w:hAnsi="Arial"/>
          <w:sz w:val="24"/>
          <w:szCs w:val="24"/>
        </w:rPr>
        <w:t xml:space="preserve">2) Уровнем прогнозирования является:</w:t>
      </w:r>
    </w:p>
    <w:p>
      <w:pPr>
        <w:spacing w:after="120"/>
        <w:ind w:firstLine="708"/>
        <w:jc w:val="both"/>
      </w:pPr>
      <w:r>
        <w:rPr>
          <w:rFonts w:ascii="Arial" w:cs="Arial" w:eastAsia="Arial" w:hAnsi="Arial"/>
          <w:sz w:val="24"/>
          <w:szCs w:val="24"/>
        </w:rPr>
        <w:t xml:space="preserve">- центральный бюджет (республиканский);</w:t>
      </w:r>
    </w:p>
    <w:p>
      <w:pPr>
        <w:spacing w:after="120"/>
        <w:ind w:firstLine="708"/>
        <w:jc w:val="both"/>
      </w:pPr>
      <w:r>
        <w:rPr>
          <w:rFonts w:ascii="Arial" w:cs="Arial" w:eastAsia="Arial" w:hAnsi="Arial"/>
          <w:sz w:val="24"/>
          <w:szCs w:val="24"/>
        </w:rPr>
        <w:t xml:space="preserve">- местный бюджет;</w:t>
      </w:r>
    </w:p>
    <w:p>
      <w:pPr>
        <w:spacing w:after="120"/>
        <w:ind w:firstLine="708"/>
        <w:jc w:val="both"/>
      </w:pPr>
      <w:r>
        <w:rPr>
          <w:rFonts w:ascii="Arial" w:cs="Arial" w:eastAsia="Arial" w:hAnsi="Arial"/>
          <w:sz w:val="24"/>
          <w:szCs w:val="24"/>
        </w:rPr>
        <w:t xml:space="preserve">- общий уровень (государственный).</w:t>
      </w:r>
      <w:r>
        <w:rPr>
          <w:rFonts w:ascii="Arial" w:cs="Arial" w:eastAsia="Arial" w:hAnsi="Arial"/>
          <w:sz w:val="24"/>
          <w:szCs w:val="24"/>
        </w:rPr>
        <w:t xml:space="preserve">1</w:t>
      </w:r>
    </w:p>
    <w:p>
      <w:pPr>
        <w:spacing w:after="120"/>
        <w:ind w:firstLine="708"/>
        <w:jc w:val="both"/>
      </w:pPr>
      <w:r>
        <w:rPr>
          <w:rFonts w:ascii="Arial" w:cs="Arial" w:eastAsia="Arial" w:hAnsi="Arial"/>
          <w:sz w:val="24"/>
          <w:szCs w:val="24"/>
        </w:rPr>
        <w:t xml:space="preserve">___________________ </w:t>
      </w:r>
    </w:p>
    <w:p>
      <w:pPr>
        <w:spacing w:after="120"/>
        <w:ind w:firstLine="708"/>
        <w:jc w:val="both"/>
      </w:pPr>
      <w:r>
        <w:rPr>
          <w:rFonts w:ascii="Arial" w:cs="Arial" w:eastAsia="Arial" w:hAnsi="Arial"/>
          <w:sz w:val="24"/>
          <w:szCs w:val="24"/>
        </w:rPr>
        <w:t xml:space="preserve">1</w:t>
      </w:r>
      <w:r>
        <w:rPr>
          <w:rFonts w:ascii="Arial" w:cs="Arial" w:eastAsia="Arial" w:hAnsi="Arial"/>
          <w:sz w:val="24"/>
          <w:szCs w:val="24"/>
        </w:rPr>
        <w:t xml:space="preserve">Государственный бюджет не моделировался уравнениями. Предполагается, что это будет сумма прогнозов центрального местного уровней. </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соответствия вышеупомянутым критериям были разработаны две модели, как показано ниже на рисунке, на трех рабочих файлах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52"/>
        <w:gridCol w:w="3607"/>
        <w:gridCol w:w="2919"/>
      </w:tblGrid>
      <w:tr>
        <w:tc>
          <w:tcPr>
            <w:tcW w:type="dxa" w:w="365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Средне-Долгосрочный</w:t>
            </w:r>
          </w:p>
          <w:p>
            <w:pPr>
              <w:jc w:val="left"/>
            </w:pPr>
            <w:r>
              <w:rPr>
                <w:rFonts w:ascii="Arial" w:cs="Arial" w:eastAsia="Arial" w:hAnsi="Arial"/>
                <w:sz w:val="24"/>
                <w:szCs w:val="24"/>
              </w:rPr>
              <w:t xml:space="preserve">Общий уровень</w:t>
            </w:r>
          </w:p>
        </w:tc>
        <w:tc>
          <w:tcPr>
            <w:tcW w:type="dxa" w:w="360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Центральный уровень</w:t>
            </w:r>
          </w:p>
        </w:tc>
        <w:tc>
          <w:tcPr>
            <w:tcW w:type="dxa" w:w="291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С-Д-срочный</w:t>
            </w:r>
          </w:p>
          <w:p>
            <w:pPr>
              <w:jc w:val="left"/>
            </w:pPr>
            <w:r>
              <w:rPr>
                <w:rFonts w:ascii="Arial" w:cs="Arial" w:eastAsia="Arial" w:hAnsi="Arial"/>
                <w:sz w:val="24"/>
                <w:szCs w:val="24"/>
              </w:rPr>
              <w:t xml:space="preserve">Местный уровень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Руководство пользователя относится к прогнозированию доходов на центральном уровне в среднесрочной и/или долгосрочной перспективе. Остальная методология на местном уровне в среднесрочной и долгосрочной перспективе рассматривается в отдельном документе.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Налоговая структура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Предлагаемая структура включает все виды налогов, смоделированные с помощью эконометрических методов. В приведенных ниже таблицах показаны вид налога, источник информации и аббревиатуры для их идентификации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Direct taxes</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0"/>
        <w:gridCol w:w="3504"/>
        <w:gridCol w:w="3604"/>
      </w:tblGrid>
      <w:tr>
        <w:tc>
          <w:tcPr>
            <w:tcW w:type="dxa" w:w="307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налога</w:t>
            </w:r>
          </w:p>
        </w:tc>
        <w:tc>
          <w:tcPr>
            <w:tcW w:type="dxa" w:w="35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3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Аббревиатура в EViews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Td_mis</w:t>
            </w:r>
          </w:p>
        </w:tc>
      </w:tr>
      <w:tr>
        <w:tc>
          <w:tcPr>
            <w:tcW w:type="dxa" w:w="3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прямые налоги</w:t>
            </w:r>
          </w:p>
        </w:tc>
        <w:tc>
          <w:tcPr>
            <w:tcW w:type="dxa" w:w="3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36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Td_tot = cit + td_mis</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Прямые налоги можно найти в следующей группе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Косвенные налоги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7"/>
        <w:gridCol w:w="2252"/>
        <w:gridCol w:w="5509"/>
      </w:tblGrid>
      <w:tr>
        <w:tc>
          <w:tcPr>
            <w:tcW w:type="dxa" w:w="24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Type of tax</w:t>
            </w:r>
          </w:p>
        </w:tc>
        <w:tc>
          <w:tcPr>
            <w:tcW w:type="dxa" w:w="2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Source of information</w:t>
            </w:r>
          </w:p>
        </w:tc>
        <w:tc>
          <w:tcPr>
            <w:tcW w:type="dxa" w:w="55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Abbr. in EViews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внешние</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Exc_e_tot = exc_e + 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внутренний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НДС внешний</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Vat_e_tot = vat_e + 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Третьи страны</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ЕАЭС</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Vat_eaeu</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Минфин</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Ti_mis</w:t>
            </w:r>
          </w:p>
        </w:tc>
      </w:tr>
      <w:tr>
        <w:tc>
          <w:tcPr>
            <w:tcW w:type="dxa" w:w="24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косвенные налоги</w:t>
            </w:r>
          </w:p>
        </w:tc>
        <w:tc>
          <w:tcPr>
            <w:tcW w:type="dxa" w:w="2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Исчисленные</w:t>
            </w:r>
          </w:p>
        </w:tc>
        <w:tc>
          <w:tcPr>
            <w:tcW w:type="dxa" w:w="5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Ti_tot = exc_d + exc_e_tot + vat_d + vat_e_tot + sales +t_im</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Группа временных рядов ti_grp охватывает все косвенные налоги, использованные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Гранты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Объем грантов обычно зависит от подписанных двусторонних и/или многосторонних контрактов, переговоров с донорами и т.д. Традиционно они не имеют эмпирического подтверждения в исторических данных, они не моделируются эконометрически, а взяты из Министерства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Неналоговые доходы моделируются в разделе 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получены из разных источников, в частности из Министерства финансов Кыргызской Республики, а также из национальной статистики, различных бюллетеней, доступных в Интернете, и из Среднесрочного прогноза социально-экономического развития.</w:t>
      </w:r>
    </w:p>
    <w:p>
      <w:pPr>
        <w:spacing w:after="120"/>
        <w:ind w:firstLine="708"/>
        <w:jc w:val="both"/>
      </w:pPr>
      <w:r>
        <w:rPr>
          <w:rFonts w:ascii="Arial" w:cs="Arial" w:eastAsia="Arial" w:hAnsi="Arial"/>
          <w:sz w:val="24"/>
          <w:szCs w:val="24"/>
        </w:rPr>
        <w:t xml:space="preserve">Применимость методов оценки всегда следует рассматривать с учетом имеющихся данных. Ввиду короткого промежутка времени, структурных разрывов и данных с высокой частотой число возможных методов ограничено.</w:t>
      </w:r>
    </w:p>
    <w:p>
      <w:pPr>
        <w:spacing w:after="120"/>
        <w:ind w:firstLine="708"/>
        <w:jc w:val="both"/>
      </w:pPr>
      <w:r>
        <w:rPr>
          <w:rFonts w:ascii="Arial" w:cs="Arial" w:eastAsia="Arial" w:hAnsi="Arial"/>
          <w:sz w:val="24"/>
          <w:szCs w:val="24"/>
        </w:rPr>
        <w:t xml:space="preserve">Для оценки модели используются годовые данные за период 2000-2021 годов. Если не указано иное, используются только реальные данные. Расчеты производились с использованием эконометрического программного обеспечения EViews. С документацией о необходимых процедурах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Нестационарность данных представляет собой серьезную проблему оценки. Всемирные эконометрические исследования в этой области могут дать множество примеров того, что нестационарные данные, как правило, непредсказуемы и не поддаются моделированию или прогнозированию. Результаты, полученные с использованием нестационарных временных рядов, могут быть ложными, поскольку они могут указывать на взаимосвязь между двумя переменными, когда одна из них не существует. Для получения последовательных достоверных результатов нестационарные данные необходимо преобразовать в стационарные.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определить, являются ли временные ряды стационарными, рекомендуется использовать тестирование на наличие единичного корня.</w:t>
      </w:r>
    </w:p>
    <w:p>
      <w:pPr>
        <w:spacing w:after="120"/>
        <w:ind w:firstLine="708"/>
        <w:jc w:val="both"/>
      </w:pPr>
      <w:r>
        <w:rPr>
          <w:rFonts w:ascii="Arial" w:cs="Arial" w:eastAsia="Arial" w:hAnsi="Arial"/>
          <w:sz w:val="24"/>
          <w:szCs w:val="24"/>
        </w:rPr>
        <w:t xml:space="preserve">При этом мы можем полагаться на результаты, полученные с помощью стандартного расширенного теста Дики-Фуллера (ADF). В целом, после выполнения теста на стационарность можно получить три вероятных результата:</w:t>
      </w:r>
    </w:p>
    <w:p>
      <w:pPr>
        <w:spacing w:after="120"/>
        <w:ind w:firstLine="708"/>
        <w:jc w:val="both"/>
      </w:pPr>
      <w:r>
        <w:rPr>
          <w:rFonts w:ascii="Arial" w:cs="Arial" w:eastAsia="Arial" w:hAnsi="Arial"/>
          <w:sz w:val="24"/>
          <w:szCs w:val="24"/>
        </w:rPr>
        <w:t xml:space="preserve">1) ряды интегрируются нулевого порядка. То есть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То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То есть,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Существуют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ind w:firstLine="708"/>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подтвержден тестированием на наличие единичного корня. Поэтому в данном документе он не рассматривается.</w:t>
      </w:r>
    </w:p>
    <w:p>
      <w:pPr>
        <w:spacing w:after="120"/>
        <w:ind w:firstLine="708"/>
        <w:jc w:val="both"/>
      </w:pPr>
      <w:r>
        <w:rPr>
          <w:rFonts w:ascii="Arial" w:cs="Arial" w:eastAsia="Arial" w:hAnsi="Arial"/>
          <w:sz w:val="24"/>
          <w:szCs w:val="24"/>
        </w:rPr>
        <w:t xml:space="preserve">Поскольку переменные часто отображают нестационарное поведение, для анализа данных будет использоваться метод коинтеграции. Если два ряда следуют за процессами единичного корня, но не коинтегрированы, может возникнуть проблема ложной регрессии, т.е. предполагаемая взаимосвязь является статистически весьма значимой вследствие неправильного вывода, но не поддается разумному толкованию. Вместе с тем, коинтеграция подразумевает, что существует линейная комбинация соответствующих переменных, которая является стационарной. Тогда такая стационарная линейная комбинация может быть интерпретирована как долгосрочная взаимосвязь.</w:t>
      </w:r>
    </w:p>
    <w:p>
      <w:pPr>
        <w:spacing w:after="120"/>
        <w:ind w:firstLine="708"/>
        <w:jc w:val="both"/>
      </w:pPr>
      <w:r>
        <w:rPr>
          <w:rFonts w:ascii="Arial" w:cs="Arial" w:eastAsia="Arial" w:hAnsi="Arial"/>
          <w:sz w:val="24"/>
          <w:szCs w:val="24"/>
        </w:rPr>
        <w:t xml:space="preserve">По мере возможности будут оцениваться модели коррекции ошибок, основанные на стабильных долгосрочных взаимосвязях. Если эта концепция неприменима, используются другие методы.</w:t>
      </w:r>
    </w:p>
    <w:p>
      <w:pPr>
        <w:spacing w:after="120"/>
        <w:ind w:firstLine="708"/>
        <w:jc w:val="both"/>
      </w:pPr>
      <w:r>
        <w:rPr>
          <w:rFonts w:ascii="Arial" w:cs="Arial" w:eastAsia="Arial" w:hAnsi="Arial"/>
          <w:sz w:val="24"/>
          <w:szCs w:val="24"/>
        </w:rPr>
        <w:t xml:space="preserve">Как правило, для оценки уравнений модели используются три метода:</w:t>
      </w:r>
    </w:p>
    <w:p>
      <w:pPr>
        <w:spacing w:after="120"/>
        <w:ind w:firstLine="708"/>
        <w:jc w:val="both"/>
      </w:pPr>
      <w:r>
        <w:rPr>
          <w:rFonts w:ascii="Arial" w:cs="Arial" w:eastAsia="Arial" w:hAnsi="Arial"/>
          <w:sz w:val="24"/>
          <w:szCs w:val="24"/>
        </w:rPr>
        <w:t xml:space="preserve">- проводятся стандартные регрессии методом наименьших квадратов (OLS) по уровням, поскольку временные ряды являются стационарными и нестационарные пояснительные переменные включены в первые разности;</w:t>
      </w:r>
    </w:p>
    <w:p>
      <w:pPr>
        <w:spacing w:after="120"/>
        <w:ind w:firstLine="708"/>
        <w:jc w:val="both"/>
      </w:pPr>
      <w:r>
        <w:rPr>
          <w:rFonts w:ascii="Arial" w:cs="Arial" w:eastAsia="Arial" w:hAnsi="Arial"/>
          <w:sz w:val="24"/>
          <w:szCs w:val="24"/>
        </w:rPr>
        <w:t xml:space="preserve">- широко используемым методом для тестирования коинтеграции является так называемая двухэтапная процедура Энгла-Грейнджера. Энгл и Грейнджер (1987) предложили оценивать коинтеграционные отношения на первом этапе с помощью статической регрессии OLS. Затем полученные остатки проверяются на наличие единичного корня. Если установлено, что они стационарны, то на втором этапе они включаются в качестве регрессора в коррекцию ошибок;</w:t>
      </w:r>
    </w:p>
    <w:p>
      <w:pPr>
        <w:spacing w:after="120"/>
        <w:ind w:firstLine="708"/>
        <w:jc w:val="both"/>
      </w:pPr>
      <w:r>
        <w:rPr>
          <w:rFonts w:ascii="Arial" w:cs="Arial" w:eastAsia="Arial" w:hAnsi="Arial"/>
          <w:sz w:val="24"/>
          <w:szCs w:val="24"/>
        </w:rPr>
        <w:t xml:space="preserve">- можно утверждать, что если ряд является стационарным по разности, то надлежащей методологией моделирования могла бы стать коинтеграция с использованием механизма коррекции ошибок, а если он является стационарным по тренду, то переменная тренда должна быть введена в правую часть уравнения регрессии для обеспечения стационарных свойств.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1.3 представлена структура доходов, которую необходимо смоделировать. Под моделированием подразумевается разработка уравнения для каждого вида налогов (неналоговых доходов), которая представляет собой процесс, состоящий из следующих этапов: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8"/>
        <w:gridCol w:w="8020"/>
      </w:tblGrid>
      <w:tr>
        <w:tc>
          <w:tcPr>
            <w:tcW w:type="dxa" w:w="21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моделирования</w:t>
            </w:r>
          </w:p>
        </w:tc>
        <w:tc>
          <w:tcPr>
            <w:tcW w:type="dxa" w:w="8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Определение функциональной формы</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Определите функциональную взаимосвязь между типами налогов и независимыми переменными на основе экономической теории или эмпирического опыта. Разработчик модели должен иметь четкое представление о факторах, которые могут повлиять на конкретный сбор налогов в будущем. Эта идея является основой для поиска надлежащих данных в поддержку теории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Изучение данных</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Данные, полученные в пункте 1, должны быть изучены для поиска причинно-следственных связей. В качестве метода рекомендуется простое построение графиков или парный тест на причинность по Грейнджеру</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Тестирование на наличие единичного корня</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Зависимые и объясняющие переменные должны быть проверены на стационарность. Как было сказано выше, только стационарные данные могут быть использованы для прогнозирования. Уровень, на котором достигается стационарность, определяет метод оценки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Выбор метода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 схему 1</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Интерпретация результатов оценки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 оценки приведет к получению результатов оценки. Особого внимания заслуживают оцененные коэффициенты. Пользователь модели должен решить, являются ли они приемлемыми. Также важно, чтобы оцененные коэффициенты должны быть статистически значимы</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Проведение остаточной диагностики</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Остаточная диагностика должна рассказать нам о том, в каком состоянии находится модель со статистической точки зрения. Рекомендуется провести три типа тестов:</w:t>
            </w:r>
          </w:p>
          <w:p>
            <w:pPr>
              <w:jc w:val="left"/>
            </w:pPr>
            <w:r>
              <w:rPr>
                <w:rFonts w:ascii="Arial" w:cs="Arial" w:eastAsia="Arial" w:hAnsi="Arial"/>
                <w:sz w:val="24"/>
                <w:szCs w:val="24"/>
              </w:rPr>
              <w:t xml:space="preserve">- тест на серийную корреляцию;</w:t>
            </w:r>
          </w:p>
          <w:p>
            <w:pPr>
              <w:jc w:val="left"/>
            </w:pPr>
            <w:r>
              <w:rPr>
                <w:rFonts w:ascii="Arial" w:cs="Arial" w:eastAsia="Arial" w:hAnsi="Arial"/>
                <w:sz w:val="24"/>
                <w:szCs w:val="24"/>
              </w:rPr>
              <w:t xml:space="preserve">- тест на гетероскедастичность;</w:t>
            </w:r>
          </w:p>
          <w:p>
            <w:pPr>
              <w:jc w:val="left"/>
            </w:pPr>
            <w:r>
              <w:rPr>
                <w:rFonts w:ascii="Arial" w:cs="Arial" w:eastAsia="Arial" w:hAnsi="Arial"/>
                <w:sz w:val="24"/>
                <w:szCs w:val="24"/>
              </w:rPr>
              <w:t xml:space="preserve">- тест на нормальное распределение</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Тест на стабильность</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Тестирование на стабильность уравнений модели</w:t>
            </w:r>
          </w:p>
        </w:tc>
      </w:tr>
      <w:tr>
        <w:tc>
          <w:tcPr>
            <w:tcW w:type="dxa" w:w="2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Налоговый прогноз</w:t>
            </w:r>
          </w:p>
        </w:tc>
        <w:tc>
          <w:tcPr>
            <w:tcW w:type="dxa" w:w="8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Последним шагом является налоговый прогноз, созданный моделью</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Этапы 1-8 можно найти в моделировании прямых и косвенных налогов.</w:t>
      </w:r>
    </w:p>
    <w:p>
      <w:pPr>
        <w:spacing w:after="120"/>
        <w:ind w:firstLine="708"/>
        <w:jc w:val="both"/>
      </w:pPr>
      <w:r>
        <w:rPr>
          <w:rFonts w:ascii="Arial" w:cs="Arial" w:eastAsia="Arial" w:hAnsi="Arial"/>
          <w:sz w:val="24"/>
          <w:szCs w:val="24"/>
        </w:rPr>
        <w:t xml:space="preserve">Оценки с помощью одного уравнения производились с целью построения эффективной модели доходов. Однако экономическая интерпретация некоторых причинно-следственных связей остается открытой на данный момент, что создает трудности в надлежащей спецификации модели. Самым тревожным аспектом моделирования была проблема нестационарности данных, которая была решена за относительно короткий период времени. Поэтому допускается небольшая неточность в определении отдельных уравнений, если соответствующая спецификация вносит значительный вклад в результаты принятой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3.1.1. Налог на прибыль (CIT)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соответствии с экономической теорией поступления от налогов на прибыль могут зависеть от четырех типов переменных:</w:t>
      </w:r>
    </w:p>
    <w:p>
      <w:pPr>
        <w:spacing w:after="120"/>
        <w:ind w:firstLine="708"/>
        <w:jc w:val="both"/>
      </w:pPr>
      <w:r>
        <w:rPr>
          <w:rFonts w:ascii="Arial" w:cs="Arial" w:eastAsia="Arial" w:hAnsi="Arial"/>
          <w:sz w:val="24"/>
          <w:szCs w:val="24"/>
        </w:rPr>
        <w:t xml:space="preserve">- изменения уровня цен: уровень инфляции, дефлятор ВВП или обменный курс;</w:t>
      </w:r>
    </w:p>
    <w:p>
      <w:pPr>
        <w:spacing w:after="120"/>
        <w:ind w:firstLine="708"/>
        <w:jc w:val="both"/>
      </w:pPr>
      <w:r>
        <w:rPr>
          <w:rFonts w:ascii="Arial" w:cs="Arial" w:eastAsia="Arial" w:hAnsi="Arial"/>
          <w:sz w:val="24"/>
          <w:szCs w:val="24"/>
        </w:rPr>
        <w:t xml:space="preserve">- номинального объема производства (ВВП);</w:t>
      </w:r>
    </w:p>
    <w:p>
      <w:pPr>
        <w:spacing w:after="120"/>
        <w:ind w:firstLine="708"/>
        <w:jc w:val="both"/>
      </w:pPr>
      <w:r>
        <w:rPr>
          <w:rFonts w:ascii="Arial" w:cs="Arial" w:eastAsia="Arial" w:hAnsi="Arial"/>
          <w:sz w:val="24"/>
          <w:szCs w:val="24"/>
        </w:rPr>
        <w:t xml:space="preserve">- номинального ВВП по факторной стоимости;</w:t>
      </w:r>
    </w:p>
    <w:p>
      <w:pPr>
        <w:spacing w:after="120"/>
        <w:ind w:firstLine="708"/>
        <w:jc w:val="both"/>
      </w:pPr>
      <w:r>
        <w:rPr>
          <w:rFonts w:ascii="Arial" w:cs="Arial" w:eastAsia="Arial" w:hAnsi="Arial"/>
          <w:sz w:val="24"/>
          <w:szCs w:val="24"/>
        </w:rPr>
        <w:t xml:space="preserve">- дохода, используемого в качестве показателя соответствующей налоговой базы (валовая операционная прибыль, смешанный доход);</w:t>
      </w:r>
    </w:p>
    <w:p>
      <w:pPr>
        <w:spacing w:after="120"/>
        <w:ind w:firstLine="708"/>
        <w:jc w:val="both"/>
      </w:pPr>
      <w:r>
        <w:rPr>
          <w:rFonts w:ascii="Arial" w:cs="Arial" w:eastAsia="Arial" w:hAnsi="Arial"/>
          <w:sz w:val="24"/>
          <w:szCs w:val="24"/>
        </w:rPr>
        <w:t xml:space="preserve">- эффективной ставки налога, которая определяется как отношение суммы CIT к налоговой базе.</w:t>
      </w:r>
    </w:p>
    <w:p>
      <w:pPr>
        <w:spacing w:after="120"/>
        <w:ind w:firstLine="708"/>
        <w:jc w:val="both"/>
      </w:pPr>
      <w:r>
        <w:rPr>
          <w:rFonts w:ascii="Arial" w:cs="Arial" w:eastAsia="Arial" w:hAnsi="Arial"/>
          <w:sz w:val="24"/>
          <w:szCs w:val="24"/>
        </w:rPr>
        <w:t xml:space="preserve">Функциональная связь может быть выражена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CIT = f (cpi, deflator GDP, exchange rate, GDP, GDP_fc, GOS, Mix income, CIT_R)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Ожидается, что увеличение номинального объема производства и валовой операционной прибыли (GDP, GDP_fc, GOS) повышает доходы от прямых налогов. С учетом прогрессивной структуры прямого налогообложения экономическим субъектам придется платить более высокую долю своего дохода в виде налогов по мере увеличения их дохода.</w:t>
      </w:r>
    </w:p>
    <w:p>
      <w:pPr>
        <w:spacing w:after="120"/>
        <w:ind w:firstLine="708"/>
        <w:jc w:val="both"/>
      </w:pPr>
      <w:r>
        <w:rPr>
          <w:rFonts w:ascii="Arial" w:cs="Arial" w:eastAsia="Arial" w:hAnsi="Arial"/>
          <w:sz w:val="24"/>
          <w:szCs w:val="24"/>
        </w:rPr>
        <w:t xml:space="preserve">Аналогичным образом, общий объем поступлений от прямых налогов будет увеличиваться по мере повышения фактической ставки прямого налога. Предполагаемую позитивную взаимосвязь между общим объемом прямых налогов и темпами инфляции можно объяснить тем, что ежегодно размеры компенсаций работникам государственного и частного секторов корректируются с учетом надбавки на стоимость жизни, а эти дополнительные выплаты облагаются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Естественно, функциональная связь должна быть проверена на исторических данных. 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Цель заключается в выявлении поведенческих связей между переменными модели. Кроме того, это может привести к возникновению новых потребностей в данных по различным сегментам экономики (и по различным переменным в рамках каждого сегмента).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не подтверждает влияние цен на налог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из таблицы выше, в качестве объясняющих переменных нельзя использовать дефлятор ВВП (pgdp), индекс потребительских цен (CPI) и обменный курс (е).</w:t>
      </w:r>
    </w:p>
    <w:p>
      <w:pPr>
        <w:spacing w:after="120"/>
        <w:ind w:firstLine="708"/>
        <w:jc w:val="both"/>
      </w:pPr>
      <w:r>
        <w:rPr>
          <w:rFonts w:ascii="Arial" w:cs="Arial" w:eastAsia="Arial" w:hAnsi="Arial"/>
          <w:sz w:val="24"/>
          <w:szCs w:val="24"/>
        </w:rPr>
        <w:t xml:space="preserve">С другой стороны, была обнаружена относительно сильная связь между налогом на прибыль, промышленным производством и номинальным ВВП.</w:t>
      </w:r>
    </w:p>
    <w:p>
      <w:pPr>
        <w:spacing w:after="120"/>
        <w:ind w:firstLine="708"/>
        <w:jc w:val="both"/>
      </w:pPr>
      <w:r>
        <w:rPr>
          <w:rFonts w:ascii="Arial" w:cs="Arial" w:eastAsia="Arial" w:hAnsi="Arial"/>
          <w:sz w:val="24"/>
          <w:szCs w:val="24"/>
        </w:rPr>
        <w:t xml:space="preserve">Тест Грейнджера на причинность подтверждает этот факт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(менее 1% или чуть выше 1%), поэтому мы можем отклонить нулевую гипотезу и принять Н1, который подтверждает тесную однонаправленную причинно-следственную связь между налогом на прибыль, промышленным производством и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Profit tax rate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была рассчитана по формуле, представленной на панели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констатировать, что эффективная ставка налога на прибыль зависит от скорректированной валовой операционной прибыли (GOS) и от доли смешанного дохода, которая входит в расчет. Интенсивность корректировки или то, какая часть GOS учитывается в этом уравнении, полностью зависит от пользователя по моделированию и его знаний об экономической среде. То же самое относится к доле смешанного дохода (r_mix).</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он доказывает, что данные являются стационарными, можно использовать OLS. Однако, если тест показывает проблему нестационарности временных рядов, необходимо применять второй и третий методы.</w:t>
      </w:r>
    </w:p>
    <w:p>
      <w:pPr>
        <w:spacing w:after="120"/>
        <w:ind w:firstLine="708"/>
        <w:jc w:val="both"/>
      </w:pPr>
      <w:r>
        <w:rPr>
          <w:rFonts w:ascii="Arial" w:cs="Arial" w:eastAsia="Arial" w:hAnsi="Arial"/>
          <w:sz w:val="24"/>
          <w:szCs w:val="24"/>
        </w:rPr>
        <w:t xml:space="preserve">Можно утверждать, что все соответствующие зависимые и пояснительные переменные являются нестационарными.</w:t>
      </w:r>
    </w:p>
    <w:p>
      <w:pPr>
        <w:spacing w:after="120"/>
        <w:ind w:firstLine="708"/>
        <w:jc w:val="both"/>
      </w:pPr>
      <w:r>
        <w:rPr>
          <w:rFonts w:ascii="Arial" w:cs="Arial" w:eastAsia="Arial" w:hAnsi="Arial"/>
          <w:sz w:val="24"/>
          <w:szCs w:val="24"/>
        </w:rPr>
        <w:t xml:space="preserve">Зависимая переменная CIT является нестационарной на уровне, как показано в тесте ADF ниже. Вероятность нестационарности составляет 36,547%, что неприемлемо (вероятность должна быть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Однако результаты тестирования ADF в первой разности являются следующими: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утверждать, что налог на прибыль (CIT) является стационарным в первой разности (соответствующая вероятность составляет менее 5%).</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по выбранным переменным.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09"/>
        <w:gridCol w:w="1567"/>
        <w:gridCol w:w="2601"/>
      </w:tblGrid>
      <w:tr>
        <w:tc>
          <w:tcPr>
            <w:tcW w:type="dxa" w:w="60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w:t>
            </w:r>
          </w:p>
        </w:tc>
        <w:tc>
          <w:tcPr>
            <w:tcW w:type="dxa" w:w="26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промышленного производства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CIT_io</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налога на прибыль</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CIT_R</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60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на единичный корень позволяют использовать </w:t>
      </w:r>
      <w:r>
        <w:rPr>
          <w:rFonts w:ascii="Arial" w:cs="Arial" w:eastAsia="Arial" w:hAnsi="Arial"/>
          <w:b/>
          <w:bCs/>
          <w:sz w:val="24"/>
          <w:szCs w:val="24"/>
        </w:rPr>
        <w:t xml:space="preserve">ARDL.</w:t>
      </w:r>
      <w:r>
        <w:rPr>
          <w:rFonts w:ascii="Arial" w:cs="Arial" w:eastAsia="Arial" w:hAnsi="Arial"/>
          <w:sz w:val="24"/>
          <w:szCs w:val="24"/>
        </w:rPr>
        <w:t xml:space="preserve"> Все переменные стационарны на первой разности или на уровне.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результата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96,407%. Это означает, что вариации cit_f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У этих переменных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и если независимая переменная увеличится на 1 единицу, сбор налогов уменьшится, при условии, что другие независимые переменные должны быть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Методологическое примечание: Как обнаружить серийную корреляцию?</w:t>
            </w:r>
          </w:p>
          <w:p>
            <w:pPr>
              <w:jc w:val="left"/>
            </w:pPr>
            <w:r>
              <w:rPr>
                <w:rFonts w:ascii="Arial" w:cs="Arial" w:eastAsia="Arial" w:hAnsi="Arial"/>
                <w:sz w:val="24"/>
                <w:szCs w:val="24"/>
              </w:rPr>
              <w:t xml:space="preserve">- Мы можем проверить статистику DW, обычно, если DW близок к 2, вероятно, последовательной корреляции нет. Если на модель влияет последовательная корреляция, мы не можем принять модель для прогнозирования.</w:t>
            </w:r>
          </w:p>
          <w:p>
            <w:pPr>
              <w:jc w:val="left"/>
            </w:pPr>
            <w:r>
              <w:rPr>
                <w:rFonts w:ascii="Arial" w:cs="Arial" w:eastAsia="Arial" w:hAnsi="Arial"/>
                <w:sz w:val="24"/>
                <w:szCs w:val="24"/>
              </w:rPr>
              <w:t xml:space="preserve">Но, если модель </w:t>
            </w:r>
            <w:r>
              <w:rPr>
                <w:rFonts w:ascii="Arial" w:cs="Arial" w:eastAsia="Arial" w:hAnsi="Arial"/>
                <w:b/>
                <w:bCs/>
                <w:sz w:val="24"/>
                <w:szCs w:val="24"/>
              </w:rPr>
              <w:t xml:space="preserve">авторегрессионная, мы не можем использовать DW.</w:t>
            </w:r>
            <w:r>
              <w:rPr>
                <w:rFonts w:ascii="Arial" w:cs="Arial" w:eastAsia="Arial" w:hAnsi="Arial"/>
                <w:sz w:val="24"/>
                <w:szCs w:val="24"/>
              </w:rPr>
              <w:t xml:space="preserve"> DW не подходит для авторегрессионных моделей. Мы должны использовать Q статистику независимо от того, есть ли последовательная корреляция или нет.</w:t>
            </w:r>
          </w:p>
          <w:p>
            <w:pPr>
              <w:jc w:val="left"/>
            </w:pPr>
            <w:r>
              <w:rPr>
                <w:rFonts w:ascii="Arial" w:cs="Arial" w:eastAsia="Arial" w:hAnsi="Arial"/>
                <w:sz w:val="24"/>
                <w:szCs w:val="24"/>
              </w:rPr>
              <w:t xml:space="preserve">- </w:t>
            </w:r>
            <w:r>
              <w:rPr>
                <w:rFonts w:ascii="Arial" w:cs="Arial" w:eastAsia="Arial" w:hAnsi="Arial"/>
                <w:sz w:val="24"/>
                <w:szCs w:val="24"/>
              </w:rPr>
              <w:t xml:space="preserve">Инструкция по работе с </w:t>
            </w:r>
            <w:r>
              <w:rPr>
                <w:rFonts w:ascii="Arial" w:cs="Arial" w:eastAsia="Arial" w:hAnsi="Arial"/>
                <w:sz w:val="24"/>
                <w:szCs w:val="24"/>
              </w:rPr>
              <w:t xml:space="preserve">EViews View/residual diagnostic/correlogram - Q statistic</w:t>
            </w:r>
          </w:p>
          <w:p>
            <w:pPr>
              <w:jc w:val="left"/>
            </w:pPr>
            <w:r>
              <w:rPr>
                <w:rFonts w:ascii="Arial" w:cs="Arial" w:eastAsia="Arial" w:hAnsi="Arial"/>
                <w:sz w:val="24"/>
                <w:szCs w:val="24"/>
              </w:rPr>
              <w:t xml:space="preserve">- Спецификация лага.</w:t>
            </w:r>
          </w:p>
          <w:p>
            <w:pPr>
              <w:jc w:val="left"/>
            </w:pPr>
            <w:r>
              <w:rPr>
                <w:rFonts w:ascii="Arial" w:cs="Arial" w:eastAsia="Arial" w:hAnsi="Arial"/>
                <w:sz w:val="24"/>
                <w:szCs w:val="24"/>
              </w:rPr>
              <w:t xml:space="preserve">Рекомендации: Возьмите примерно 1/3 от объема выборки. В нашем случае было взято 7 лагов.</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Рисунок.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AC - коэффициент автокорреляции 0,168 означает первый всплеск (1).</w:t>
            </w:r>
          </w:p>
          <w:p>
            <w:pPr>
              <w:jc w:val="left"/>
            </w:pPr>
            <w:r>
              <w:rPr>
                <w:rFonts w:ascii="Arial" w:cs="Arial" w:eastAsia="Arial" w:hAnsi="Arial"/>
                <w:sz w:val="24"/>
                <w:szCs w:val="24"/>
              </w:rPr>
              <w:t xml:space="preserve">Если АС равен нулю или близок к нулю, мы можем считать, что автокорреляция отсутствует.</w:t>
            </w:r>
          </w:p>
          <w:p>
            <w:pPr>
              <w:jc w:val="left"/>
            </w:pPr>
            <w:r>
              <w:rPr>
                <w:rFonts w:ascii="Arial" w:cs="Arial" w:eastAsia="Arial" w:hAnsi="Arial"/>
                <w:b/>
                <w:bCs/>
                <w:sz w:val="24"/>
                <w:szCs w:val="24"/>
              </w:rPr>
              <w:t xml:space="preserve">Другая интерпретация: если пики находятся в пределах двух прерывистых линий, то автокорреляция отсутствует.</w:t>
            </w:r>
          </w:p>
          <w:p>
            <w:pPr>
              <w:jc w:val="left"/>
            </w:pPr>
            <w:r>
              <w:rPr>
                <w:rFonts w:ascii="Arial" w:cs="Arial" w:eastAsia="Arial" w:hAnsi="Arial"/>
                <w:sz w:val="24"/>
                <w:szCs w:val="24"/>
              </w:rPr>
              <w:t xml:space="preserve">Мы можем проверить это также математически с помощью статистики Q и соответствующей вероятности.</w:t>
            </w:r>
          </w:p>
          <w:p>
            <w:pPr>
              <w:jc w:val="left"/>
            </w:pPr>
            <w:r>
              <w:rPr>
                <w:rFonts w:ascii="Arial" w:cs="Arial" w:eastAsia="Arial" w:hAnsi="Arial"/>
                <w:sz w:val="24"/>
                <w:szCs w:val="24"/>
              </w:rPr>
              <w:t xml:space="preserve">- Нулевая гипотеза: автокорреляция в остатке отсутствует.</w:t>
            </w:r>
          </w:p>
          <w:p>
            <w:pPr>
              <w:jc w:val="left"/>
            </w:pPr>
            <w:r>
              <w:rPr>
                <w:rFonts w:ascii="Arial" w:cs="Arial" w:eastAsia="Arial" w:hAnsi="Arial"/>
                <w:sz w:val="24"/>
                <w:szCs w:val="24"/>
              </w:rPr>
              <w:t xml:space="preserve">Вероятность всегда в основном больше 5%. Мы не можем отвергнуть Н0.</w:t>
            </w:r>
          </w:p>
          <w:p>
            <w:pPr>
              <w:jc w:val="left"/>
            </w:pPr>
            <w:r>
              <w:rPr>
                <w:rFonts w:ascii="Arial" w:cs="Arial" w:eastAsia="Arial" w:hAnsi="Arial"/>
                <w:b/>
                <w:bCs/>
                <w:sz w:val="24"/>
                <w:szCs w:val="24"/>
              </w:rPr>
              <w:t xml:space="preserve">- Результат: </w:t>
            </w:r>
            <w:r>
              <w:rPr>
                <w:rFonts w:ascii="Arial" w:cs="Arial" w:eastAsia="Arial" w:hAnsi="Arial"/>
                <w:sz w:val="24"/>
                <w:szCs w:val="24"/>
              </w:rPr>
              <w:t xml:space="preserve">остатки не являются серийно коррелированными.</w:t>
            </w:r>
          </w:p>
          <w:p>
            <w:pPr>
              <w:jc w:val="left"/>
            </w:pPr>
            <w:r>
              <w:rPr>
                <w:rFonts w:ascii="Arial" w:cs="Arial" w:eastAsia="Arial" w:hAnsi="Arial"/>
                <w:b/>
                <w:bCs/>
                <w:sz w:val="24"/>
                <w:szCs w:val="24"/>
              </w:rPr>
              <w:t xml:space="preserve">Эта методология применялась для всех видов налогов, взимаемых на центральном или местном уровне. В дальнейшем тексте она повторяться не будет, только результат: коррелограмма остатков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Результат:</w:t>
      </w:r>
      <w:r>
        <w:rPr>
          <w:rFonts w:ascii="Arial" w:cs="Arial" w:eastAsia="Arial" w:hAnsi="Arial"/>
          <w:sz w:val="24"/>
          <w:szCs w:val="24"/>
        </w:rPr>
        <w:t xml:space="preserve"> остатки не являются серийно коррелированными.</w:t>
      </w:r>
    </w:p>
    <w:p>
      <w:pPr>
        <w:spacing w:after="120"/>
        <w:ind w:firstLine="708"/>
        <w:jc w:val="both"/>
      </w:pPr>
      <w:r>
        <w:rPr>
          <w:rFonts w:ascii="Arial" w:cs="Arial" w:eastAsia="Arial" w:hAnsi="Arial"/>
          <w:sz w:val="24"/>
          <w:szCs w:val="24"/>
        </w:rPr>
        <w:t xml:space="preserve">Этот метод тестирования последовательной корреляции был применен в следующих уравнениях, но без указания только результатов, полученных с помощью коррелограммы: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трех вышеуказанных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CUSUM-тест (сокр. от англ. CUmulative SUM - "кумулятивная сумма") подтвердил устойчивость оцениваемого уравнения, поскольку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тестированию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 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 наконец, на приведенной ниже диаграмме показан прогноз налога на прибыль, полученный с помощью модели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3.1.2. Другие прямые налоги (td_mis)</w:t>
      </w:r>
    </w:p>
    <w:p>
      <w:pPr>
        <w:spacing w:after="120"/>
        <w:ind w:firstLine="708"/>
        <w:jc w:val="both"/>
      </w:pPr>
      <w:r>
        <w:rPr>
          <w:rFonts w:ascii="Arial" w:cs="Arial" w:eastAsia="Arial" w:hAnsi="Arial"/>
          <w:sz w:val="24"/>
          <w:szCs w:val="24"/>
        </w:rPr>
        <w:t xml:space="preserve">Прогноз производится методом однократного экспоненциального сглаживания. Руководство выглядит следующим образом:</w:t>
      </w:r>
    </w:p>
    <w:p>
      <w:pPr>
        <w:spacing w:after="120"/>
        <w:ind w:firstLine="708"/>
        <w:jc w:val="both"/>
      </w:pPr>
      <w:r>
        <w:rPr>
          <w:rFonts w:ascii="Arial" w:cs="Arial" w:eastAsia="Arial" w:hAnsi="Arial"/>
          <w:sz w:val="24"/>
          <w:szCs w:val="24"/>
        </w:rPr>
        <w:t xml:space="preserve">- откройте временной ряд td_mis;</w:t>
      </w:r>
    </w:p>
    <w:p>
      <w:pPr>
        <w:spacing w:after="120"/>
        <w:ind w:firstLine="708"/>
        <w:jc w:val="both"/>
      </w:pPr>
      <w:r>
        <w:rPr>
          <w:rFonts w:ascii="Arial" w:cs="Arial" w:eastAsia="Arial" w:hAnsi="Arial"/>
          <w:sz w:val="24"/>
          <w:szCs w:val="24"/>
        </w:rPr>
        <w:t xml:space="preserve">- </w:t>
      </w:r>
      <w:r>
        <w:rPr>
          <w:rFonts w:ascii="Arial" w:cs="Arial" w:eastAsia="Arial" w:hAnsi="Arial"/>
          <w:sz w:val="24"/>
          <w:szCs w:val="24"/>
        </w:rPr>
        <w:t xml:space="preserve">proc</w:t>
      </w:r>
      <w:r>
        <w:rPr>
          <w:rFonts w:ascii="Arial" w:cs="Arial" w:eastAsia="Arial" w:hAnsi="Arial"/>
          <w:sz w:val="24"/>
          <w:szCs w:val="24"/>
        </w:rPr>
        <w:t xml:space="preserve">/</w:t>
      </w:r>
      <w:r>
        <w:rPr>
          <w:rFonts w:ascii="Arial" w:cs="Arial" w:eastAsia="Arial" w:hAnsi="Arial"/>
          <w:sz w:val="24"/>
          <w:szCs w:val="24"/>
        </w:rPr>
        <w:t xml:space="preserve">exponential smoothing</w:t>
      </w:r>
      <w:r>
        <w:rPr>
          <w:rFonts w:ascii="Arial" w:cs="Arial" w:eastAsia="Arial" w:hAnsi="Arial"/>
          <w:sz w:val="24"/>
          <w:szCs w:val="24"/>
        </w:rPr>
        <w:t xml:space="preserve">/</w:t>
      </w:r>
      <w:r>
        <w:rPr>
          <w:rFonts w:ascii="Arial" w:cs="Arial" w:eastAsia="Arial" w:hAnsi="Arial"/>
          <w:sz w:val="24"/>
          <w:szCs w:val="24"/>
        </w:rPr>
        <w:t xml:space="preserve">single exponential smoothing</w:t>
      </w: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нажмите ОК.</w:t>
      </w:r>
    </w:p>
    <w:p>
      <w:pPr>
        <w:spacing w:after="120"/>
        <w:ind w:firstLine="708"/>
        <w:jc w:val="both"/>
      </w:pPr>
      <w:r>
        <w:rPr>
          <w:rFonts w:ascii="Arial" w:cs="Arial" w:eastAsia="Arial" w:hAnsi="Arial"/>
          <w:sz w:val="24"/>
          <w:szCs w:val="24"/>
        </w:rPr>
        <w:t xml:space="preserve">EViews создаст новый временной ряд (td_missm)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Непрямые налоги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Внутренние акцизы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зависимость как функцию зависимой переменной (тип налога - внутренний акциз - exc_d) и объясняющих переменных, которые должны объяснить поступление exc_d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Exc_d = f (wrtr*, exc_d_r,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Сокращение "wrtr" обозначает оптовую, розничную торговлю и ремонт.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демонстрирует тесную взаимосвязь между внутренними акцизами и уровнем цен, измеряемым дефлятором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менее 1%, что означает сильную причинно-следственную двунаправленную связь между exc_d и pgdp_2010. Мы можем отказаться от нулевой гипотезы и принять Н1 которая подтверждает сильную однонаправленную причинно-следственную связь.</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98"/>
        <w:gridCol w:w="2508"/>
        <w:gridCol w:w="2972"/>
      </w:tblGrid>
      <w:tr>
        <w:tc>
          <w:tcPr>
            <w:tcW w:type="dxa" w:w="4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Акцизы внутренние</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внутренних акцизов</w:t>
            </w:r>
          </w:p>
        </w:tc>
        <w:tc>
          <w:tcPr>
            <w:tcW w:type="dxa" w:w="2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Exc_d_r</w:t>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Стационарность по первой разности предполагает использование моделирования коррекции ошибок. Однако при тестировании коинтеграция не была доказана, поэтому в качестве метода оценки был выбран </w:t>
      </w:r>
      <w:r>
        <w:rPr>
          <w:rFonts w:ascii="Arial" w:cs="Arial" w:eastAsia="Arial" w:hAnsi="Arial"/>
          <w:b/>
          <w:bCs/>
          <w:sz w:val="24"/>
          <w:szCs w:val="24"/>
        </w:rPr>
        <w:t xml:space="preserve">ARDL.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86,407%. Это означает, что вариации exc_d_f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P-значение очень высокое.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зависят по определениям.</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ind w:firstLine="708"/>
        <w:jc w:val="both"/>
      </w:pPr>
      <w:r>
        <w:rPr>
          <w:rFonts w:ascii="Arial" w:cs="Arial" w:eastAsia="Arial" w:hAnsi="Arial"/>
          <w:sz w:val="24"/>
          <w:szCs w:val="24"/>
        </w:rPr>
        <w:t xml:space="preserve">Все критерии оценки удовлетворительны, за исключением t-статистики. Но F-статистика, где соответствующая вероятность почти равна 0 (менее 5%), показывает, что все объясняющие переменные совместно могут влиять на зависимую переменную. Это причина, по которой мы можем принять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могут подтвердить, что модель ex_d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тестом CUSUM, так как линия уравнения (синяя) находится в интервале значимости (5%), заданном двумя красными линиями.</w:t>
      </w:r>
    </w:p>
    <w:p>
      <w:pPr>
        <w:spacing w:after="120"/>
        <w:jc w:val="both"/>
      </w:pPr>
      <w:r>
        <w:rPr>
          <w:rFonts w:ascii="Arial" w:cs="Arial" w:eastAsia="Arial" w:hAnsi="Arial"/>
          <w:sz w:val="24"/>
          <w:szCs w:val="24"/>
        </w:rPr>
        <w:t xml:space="preserve">Прогноз внутренних акцизов, полученный с помощью расчетного уравнения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представлен прогноз exc_d, созданный моделью, включая численное решение.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Внешние акцизы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состоят из:</w:t>
      </w:r>
    </w:p>
    <w:p>
      <w:pPr>
        <w:spacing w:after="120"/>
        <w:ind w:firstLine="708"/>
        <w:jc w:val="both"/>
      </w:pPr>
      <w:r>
        <w:rPr>
          <w:rFonts w:ascii="Arial" w:cs="Arial" w:eastAsia="Arial" w:hAnsi="Arial"/>
          <w:sz w:val="24"/>
          <w:szCs w:val="24"/>
        </w:rPr>
        <w:t xml:space="preserve">- акцизов, применимых к третьим странам;</w:t>
      </w:r>
    </w:p>
    <w:p>
      <w:pPr>
        <w:spacing w:after="120"/>
        <w:ind w:firstLine="708"/>
        <w:jc w:val="both"/>
      </w:pPr>
      <w:r>
        <w:rPr>
          <w:rFonts w:ascii="Arial" w:cs="Arial" w:eastAsia="Arial" w:hAnsi="Arial"/>
          <w:sz w:val="24"/>
          <w:szCs w:val="24"/>
        </w:rPr>
        <w:t xml:space="preserve">- акцизов, применимых к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Внешние акцизы - третьи страны.</w:t>
      </w:r>
    </w:p>
    <w:p>
      <w:pPr>
        <w:spacing w:after="120"/>
        <w:ind w:firstLine="708"/>
        <w:jc w:val="both"/>
      </w:pPr>
      <w:r>
        <w:rPr>
          <w:rFonts w:ascii="Arial" w:cs="Arial" w:eastAsia="Arial" w:hAnsi="Arial"/>
          <w:sz w:val="24"/>
          <w:szCs w:val="24"/>
        </w:rPr>
        <w:t xml:space="preserve">Теория оценки основана на предположении, что внешние акцизы зависят от будущего развития импорта в третьи страны и уровня цен.</w:t>
      </w:r>
    </w:p>
    <w:p>
      <w:pPr>
        <w:spacing w:after="120"/>
        <w:jc w:val="both"/>
      </w:pPr>
      <w:r>
        <w:rPr>
          <w:rFonts w:ascii="Arial" w:cs="Arial" w:eastAsia="Arial" w:hAnsi="Arial"/>
          <w:sz w:val="24"/>
          <w:szCs w:val="24"/>
        </w:rPr>
        <w:t xml:space="preserve">ехс</w:t>
      </w:r>
      <w:r>
        <w:rPr>
          <w:rFonts w:ascii="Arial" w:cs="Arial" w:eastAsia="Arial" w:hAnsi="Arial"/>
          <w:sz w:val="24"/>
          <w:szCs w:val="24"/>
        </w:rPr>
        <w:t xml:space="preserve">_</w:t>
      </w:r>
      <w:r>
        <w:rPr>
          <w:rFonts w:ascii="Arial" w:cs="Arial" w:eastAsia="Arial" w:hAnsi="Arial"/>
          <w:sz w:val="24"/>
          <w:szCs w:val="24"/>
        </w:rPr>
        <w:t xml:space="preserve">е</w:t>
      </w:r>
      <w:r>
        <w:rPr>
          <w:rFonts w:ascii="Arial" w:cs="Arial" w:eastAsia="Arial" w:hAnsi="Arial"/>
          <w:sz w:val="24"/>
          <w:szCs w:val="24"/>
        </w:rPr>
        <w:t xml:space="preserve"> = f (im_3c, </w:t>
      </w:r>
      <w:r>
        <w:rPr>
          <w:rFonts w:ascii="Arial" w:cs="Arial" w:eastAsia="Arial" w:hAnsi="Arial"/>
          <w:sz w:val="24"/>
          <w:szCs w:val="24"/>
        </w:rPr>
        <w:t xml:space="preserve">е</w:t>
      </w:r>
      <w:r>
        <w:rPr>
          <w:rFonts w:ascii="Arial" w:cs="Arial" w:eastAsia="Arial" w:hAnsi="Arial"/>
          <w:sz w:val="24"/>
          <w:szCs w:val="24"/>
        </w:rPr>
        <w:t xml:space="preserve">,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составляет около 5%, поэтому мы можем отказаться от нулевой гипотезы и принять Н1, который подтверждает сильную двунаправленную причинно-следственную связь между ехс_е и импортом в третьи страны.</w:t>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97"/>
        <w:gridCol w:w="1614"/>
        <w:gridCol w:w="2967"/>
      </w:tblGrid>
      <w:tr>
        <w:tc>
          <w:tcPr>
            <w:tcW w:type="dxa" w:w="559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6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EViews</w:t>
            </w:r>
          </w:p>
        </w:tc>
        <w:tc>
          <w:tcPr>
            <w:tcW w:type="dxa" w:w="2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акцизы - третьи страны</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Ехс_е</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55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из третьих стран</w:t>
            </w:r>
          </w:p>
        </w:tc>
        <w:tc>
          <w:tcPr>
            <w:tcW w:type="dxa" w:w="16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2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была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73,42%. Это означает, что вариации exc_e_f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Поскольку F-статистика и соответствующая ей вероятность составляют 0,34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Из-за недостаточного количества наблюдений (всего 4) тесты на гетероскедастичность и нормальность не проводились.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Устойчивость оцениваемого уравнения была подтверждена с помощью теста CUSUM, так как линия уравнения (синяя) находится в интервале значимости, заданном двумя красными линиями.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 по проверке уравнения на устойчивость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w:t>
      </w:r>
    </w:p>
    <w:p>
      <w:pPr>
        <w:spacing w:after="120"/>
        <w:jc w:val="both"/>
      </w:pP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внешних акцизов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приведенном ниже графике показан прогноз внешних акцизов, полученный с помощью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3.2.3. Налог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задается следующим уравнением:</w:t>
      </w:r>
    </w:p>
    <w:p>
      <w:pPr>
        <w:spacing w:after="120"/>
        <w:jc w:val="both"/>
      </w:pPr>
      <w:r>
        <w:rPr>
          <w:rFonts w:ascii="Arial" w:cs="Arial" w:eastAsia="Arial" w:hAnsi="Arial"/>
          <w:sz w:val="24"/>
          <w:szCs w:val="24"/>
        </w:rPr>
        <w:t xml:space="preserve">Sales tax = f (real GDP deflator, sales tax rate)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причинно-следственной связи Грейнджера показывает сильную однонаправленную связь между налогом с продаж и реальным дефлятором (pgdp_2010). Мы можем заключить, что любое изменение объема продаж повлияет на цены.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7"/>
        <w:gridCol w:w="2650"/>
        <w:gridCol w:w="3141"/>
      </w:tblGrid>
      <w:tr>
        <w:tc>
          <w:tcPr>
            <w:tcW w:type="dxa" w:w="43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6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31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3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w:t>
            </w:r>
          </w:p>
        </w:tc>
        <w:tc>
          <w:tcPr>
            <w:tcW w:type="dxa" w:w="26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Sales_r</w:t>
            </w:r>
          </w:p>
        </w:tc>
        <w:tc>
          <w:tcPr>
            <w:tcW w:type="dxa" w:w="31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Стационарность при первой разнице является предварительным условием для моделирования с исправлением ошибок. Однако тест на коинтеграцию Йохансена должен сначала подтвердить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Результатом теста Йохансена является то, что существует 1 коинтегрирующее уравнение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основе коинтеграционного тестирования впервые была запущена модель исправления ошибок (ЕСМ). Но полученные результаты были неудовлетворительными, скорее всего, из-за очень коротких временных рядов. Поэтому в качестве альтернативы использовался </w:t>
      </w:r>
      <w:r>
        <w:rPr>
          <w:rFonts w:ascii="Arial" w:cs="Arial" w:eastAsia="Arial" w:hAnsi="Arial"/>
          <w:b/>
          <w:bCs/>
          <w:sz w:val="24"/>
          <w:szCs w:val="24"/>
        </w:rPr>
        <w:t xml:space="preserve">ARDL</w:t>
      </w:r>
      <w:r>
        <w:rPr>
          <w:rFonts w:ascii="Arial" w:cs="Arial" w:eastAsia="Arial" w:hAnsi="Arial"/>
          <w:sz w:val="24"/>
          <w:szCs w:val="24"/>
        </w:rPr>
        <w:t xml:space="preserve"> с выводом оценки,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96,67%. Это означает, что изменения в sales_f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Все независимые переменные значимы. Т-статистика высока или р-значения очень низки.</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Так как F-статистика и соответствующая ей вероятность равна 0 (менее 5%). Это демонстрирует, что все независимые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 остаточной диагностики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Подводя итог, можно сказать, что расчетное уравнение продаж не подвержено влиянию автокорреляции, гетероскедастичности и проблем нормального распределения. Результаты трех тестов доказали, что уравнение является сильной со статистической точки зрения.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с продаж.</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ARDL, модель произвела следующий прогноз налога с продаж:</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3.2.4 НДС внутренний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целом ожидается рост внутренних сборов НДС в результате увеличения частного потребления, внутреннего спроса или денежных переводов из-за рубежа. Даже при неизменной действующей ставке НДС хозяйствующим субъектам придется платить более высокие налоги на приобретение конечных товаров и услуг.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другой стороны, увеличение внутренней ставки НДС может уменьшить доходы (отрицательная зависимость). Предполагается положительная связь между внутренним НДС и частным потреблением, внутренним спросом, денежными переводами и уровнем инфляции.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VAT_d = f (C_p, DD, Tr_pf, vat_d_r, Deflator GDP)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Традиционно связь между частным потреблением и внутренним НДС проверялась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Эта причинно-следственная связь не подтвердилась. Соответствующая вероятность составляет 5,63%, что немного выше 5%.</w:t>
      </w:r>
    </w:p>
    <w:p>
      <w:pPr>
        <w:spacing w:after="120"/>
        <w:ind w:firstLine="708"/>
        <w:jc w:val="both"/>
      </w:pPr>
      <w:r>
        <w:rPr>
          <w:rFonts w:ascii="Arial" w:cs="Arial" w:eastAsia="Arial" w:hAnsi="Arial"/>
          <w:sz w:val="24"/>
          <w:szCs w:val="24"/>
        </w:rPr>
        <w:t xml:space="preserve">Тест причинно-следственной связи по Грейнджеру выявил тесную взаимосвязь между внутренним спросом (DD) и внутренним НДС. Объяснение заключается в том, что более широко определенная категория расходов, которая включает не только частное потребление, но также государственное потребление и инвестиции, положительно повлияет на взимаемый VAT_D.</w:t>
      </w:r>
    </w:p>
    <w:p>
      <w:pPr>
        <w:spacing w:after="120"/>
        <w:ind w:firstLine="708"/>
        <w:jc w:val="both"/>
      </w:pPr>
      <w:r>
        <w:rPr>
          <w:rFonts w:ascii="Arial" w:cs="Arial" w:eastAsia="Arial" w:hAnsi="Arial"/>
          <w:sz w:val="24"/>
          <w:szCs w:val="24"/>
        </w:rPr>
        <w:t xml:space="preserve">Во-вторых, очевидно влияние изменения цен. Дефлятор реального ВВП (pgdp_2010) может существенно повлиять на внутренний НДС, он также оказывает влияние на DD, который, в свою очередь, может повлиять на VAT_d.</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связь между внутренним спросом (dd) и внутренним НДС является сильной.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19"/>
        <w:gridCol w:w="2599"/>
        <w:gridCol w:w="3159"/>
      </w:tblGrid>
      <w:tr>
        <w:tc>
          <w:tcPr>
            <w:tcW w:type="dxa" w:w="4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59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5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НДС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спрос</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DD</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переводы</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Tr_pf</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4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25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Авторегрессионная модель представляется оптимальным решением. Результаты оценки выглядят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94,47%. Это означает, что вариации vat_d_f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В данном случае недоступен; решается методом авторегрессии.</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всех вышеуказанных тестов доказывают, что модель внутреннего НДС является сильной со статистической точки зрения, хотя тест на гетероскедастичности чуть ниже требуемого уровня.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внутреннего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3.2.5. НДС внешний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Внешний НДС состоит из НДС, взимаемого с импорта:</w:t>
      </w:r>
    </w:p>
    <w:p>
      <w:pPr>
        <w:spacing w:after="120"/>
        <w:ind w:firstLine="708"/>
        <w:jc w:val="both"/>
      </w:pPr>
      <w:r>
        <w:rPr>
          <w:rFonts w:ascii="Arial" w:cs="Arial" w:eastAsia="Arial" w:hAnsi="Arial"/>
          <w:sz w:val="24"/>
          <w:szCs w:val="24"/>
        </w:rPr>
        <w:t xml:space="preserve">- из третьих стран;</w:t>
      </w:r>
    </w:p>
    <w:p>
      <w:pPr>
        <w:spacing w:after="120"/>
        <w:ind w:firstLine="708"/>
        <w:jc w:val="both"/>
      </w:pPr>
      <w:r>
        <w:rPr>
          <w:rFonts w:ascii="Arial" w:cs="Arial" w:eastAsia="Arial" w:hAnsi="Arial"/>
          <w:sz w:val="24"/>
          <w:szCs w:val="24"/>
        </w:rPr>
        <w:t xml:space="preserve">- из ЕАЭС.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 = </w:t>
      </w:r>
      <w:r>
        <w:rPr>
          <w:rFonts w:ascii="Arial" w:cs="Arial" w:eastAsia="Arial" w:hAnsi="Arial"/>
          <w:sz w:val="24"/>
          <w:szCs w:val="24"/>
        </w:rPr>
        <w:t xml:space="preserve">f</w:t>
      </w:r>
      <w:r>
        <w:rPr>
          <w:rFonts w:ascii="Arial" w:cs="Arial" w:eastAsia="Arial" w:hAnsi="Arial"/>
          <w:sz w:val="24"/>
          <w:szCs w:val="24"/>
        </w:rPr>
        <w:t xml:space="preserve"> (</w:t>
      </w:r>
      <w:r>
        <w:rPr>
          <w:rFonts w:ascii="Arial" w:cs="Arial" w:eastAsia="Arial" w:hAnsi="Arial"/>
          <w:sz w:val="24"/>
          <w:szCs w:val="24"/>
        </w:rPr>
        <w:t xml:space="preserve">im</w:t>
      </w:r>
      <w:r>
        <w:rPr>
          <w:rFonts w:ascii="Arial" w:cs="Arial" w:eastAsia="Arial" w:hAnsi="Arial"/>
          <w:sz w:val="24"/>
          <w:szCs w:val="24"/>
        </w:rPr>
        <w:t xml:space="preserve">_3</w:t>
      </w:r>
      <w:r>
        <w:rPr>
          <w:rFonts w:ascii="Arial" w:cs="Arial" w:eastAsia="Arial" w:hAnsi="Arial"/>
          <w:sz w:val="24"/>
          <w:szCs w:val="24"/>
        </w:rPr>
        <w:t xml:space="preserve">C</w:t>
      </w:r>
      <w:r>
        <w:rPr>
          <w:rFonts w:ascii="Arial" w:cs="Arial" w:eastAsia="Arial" w:hAnsi="Arial"/>
          <w:sz w:val="24"/>
          <w:szCs w:val="24"/>
        </w:rPr>
        <w:t xml:space="preserve">, </w:t>
      </w:r>
      <w:r>
        <w:rPr>
          <w:rFonts w:ascii="Arial" w:cs="Arial" w:eastAsia="Arial" w:hAnsi="Arial"/>
          <w:sz w:val="24"/>
          <w:szCs w:val="24"/>
        </w:rPr>
        <w:t xml:space="preserve">vat</w:t>
      </w:r>
      <w:r>
        <w:rPr>
          <w:rFonts w:ascii="Arial" w:cs="Arial" w:eastAsia="Arial" w:hAnsi="Arial"/>
          <w:sz w:val="24"/>
          <w:szCs w:val="24"/>
        </w:rPr>
        <w:t xml:space="preserve">_</w:t>
      </w:r>
      <w:r>
        <w:rPr>
          <w:rFonts w:ascii="Arial" w:cs="Arial" w:eastAsia="Arial" w:hAnsi="Arial"/>
          <w:sz w:val="24"/>
          <w:szCs w:val="24"/>
        </w:rPr>
        <w:t xml:space="preserve">e</w:t>
      </w:r>
      <w:r>
        <w:rPr>
          <w:rFonts w:ascii="Arial" w:cs="Arial" w:eastAsia="Arial" w:hAnsi="Arial"/>
          <w:sz w:val="24"/>
          <w:szCs w:val="24"/>
        </w:rPr>
        <w:t xml:space="preserve">_</w:t>
      </w:r>
      <w:r>
        <w:rPr>
          <w:rFonts w:ascii="Arial" w:cs="Arial" w:eastAsia="Arial" w:hAnsi="Arial"/>
          <w:sz w:val="24"/>
          <w:szCs w:val="24"/>
        </w:rPr>
        <w:t xml:space="preserve">r</w:t>
      </w:r>
      <w:r>
        <w:rPr>
          <w:rFonts w:ascii="Arial" w:cs="Arial" w:eastAsia="Arial" w:hAnsi="Arial"/>
          <w:sz w:val="24"/>
          <w:szCs w:val="24"/>
        </w:rPr>
        <w:t xml:space="preserve">, </w:t>
      </w:r>
      <w:r>
        <w:rPr>
          <w:rFonts w:ascii="Arial" w:cs="Arial" w:eastAsia="Arial" w:hAnsi="Arial"/>
          <w:sz w:val="24"/>
          <w:szCs w:val="24"/>
        </w:rPr>
        <w:t xml:space="preserve">real deflator GDP</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парных тестов Грейнджера демонстрирует причинно-следственную связь между уровнем цен и внешней добавленной стоимостью. Соответствующая вероятность составляет 2,15% (менее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импортом и внешним НДС только однонаправленная, но очень сильная. Это означает, что увеличение собираемости внешнего НДС всегда было связано с увеличением импорта.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14"/>
        <w:gridCol w:w="2015"/>
        <w:gridCol w:w="3149"/>
      </w:tblGrid>
      <w:tr>
        <w:tc>
          <w:tcPr>
            <w:tcW w:type="dxa" w:w="50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201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vat_е</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ЗС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Im_3С</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разнице</w:t>
            </w:r>
          </w:p>
        </w:tc>
      </w:tr>
      <w:tr>
        <w:tc>
          <w:tcPr>
            <w:tcW w:type="dxa" w:w="50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Ставка внешнего НДС</w:t>
            </w:r>
          </w:p>
        </w:tc>
        <w:tc>
          <w:tcPr>
            <w:tcW w:type="dxa" w:w="20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Vat_e_r</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качестве решения принята модель VAR. См. оценку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68,63%. Это означает, что вариации vat_e_f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Не представлен результат оценки, решаемый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внешнего НДС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Прогнозы внешнего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оценочное уравнение, можно получить прогноз внешнего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Внешний НДС, взимаемый с импорта из ЕАЭС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момента создания в 2015 году Евразийского экономического союза число наблюдений, доступных для моделирования, было ограничено 6. Поэтому для оценки и прогнозирования использовался метод OLS. Соответствующее уравнение находится в рабочем файле.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показан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3.2.6. Таможенная пошлина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t_im = f (im_adj, t_m, pgdp_2010)</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представлена теория, лежащая в основе этой функциональной взаимосвязи.</w:t>
      </w:r>
    </w:p>
    <w:p>
      <w:pPr>
        <w:spacing w:after="120"/>
        <w:ind w:firstLine="708"/>
        <w:jc w:val="both"/>
      </w:pPr>
      <w:r>
        <w:rPr>
          <w:rFonts w:ascii="Arial" w:cs="Arial" w:eastAsia="Arial" w:hAnsi="Arial"/>
          <w:sz w:val="24"/>
          <w:szCs w:val="24"/>
        </w:rPr>
        <w:t xml:space="preserve">Ожидается, что увеличение импорта приведет к повышению таможенных пошлин. Учитывая преобладающую систему налогообложения, экономическим агентам придется платить более высокие таможенные пошлины по мере увеличения импорта.</w:t>
      </w:r>
    </w:p>
    <w:p>
      <w:pPr>
        <w:spacing w:after="120"/>
        <w:ind w:firstLine="708"/>
        <w:jc w:val="both"/>
      </w:pPr>
      <w:r>
        <w:rPr>
          <w:rFonts w:ascii="Arial" w:cs="Arial" w:eastAsia="Arial" w:hAnsi="Arial"/>
          <w:sz w:val="24"/>
          <w:szCs w:val="24"/>
        </w:rPr>
        <w:t xml:space="preserve">Аналогичным образом таможенные пошлины будут повышаться по мере повышения эффективной таможенной ставки. Предполагаемая положительная связь между совокупными поступлениями и инфляцией может быть объяснена тем, что каждый год личные расходы домашних хозяйств на импорт будут увеличиваться, отражая изменение их доходов, и последующие расходы.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Изучая данные, можно обнаружить сильную причинно-следственную связь между скорректированным импортом и таможенными пошлинами.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Связь между ценами (pgdp_2010) и импортными пошлинами не была подтверждена. Поэтому она была пропущена для рассмотрения.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1517"/>
        <w:gridCol w:w="3542"/>
      </w:tblGrid>
      <w:tr>
        <w:tc>
          <w:tcPr>
            <w:tcW w:type="dxa" w:w="5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35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пошлина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T_im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скорректированный</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Im_adj</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5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Таможенная ставка</w:t>
            </w:r>
          </w:p>
        </w:tc>
        <w:tc>
          <w:tcPr>
            <w:tcW w:type="dxa" w:w="15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Т_m</w:t>
            </w:r>
          </w:p>
        </w:tc>
        <w:tc>
          <w:tcPr>
            <w:tcW w:type="dxa" w:w="3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Используя руководство по определению правильного метода оценки, была выбрана </w:t>
      </w:r>
      <w:r>
        <w:rPr>
          <w:rFonts w:ascii="Arial" w:cs="Arial" w:eastAsia="Arial" w:hAnsi="Arial"/>
          <w:b/>
          <w:bCs/>
          <w:sz w:val="24"/>
          <w:szCs w:val="24"/>
        </w:rPr>
        <w:t xml:space="preserve">авторегрессионная модель.</w:t>
      </w:r>
      <w:r>
        <w:rPr>
          <w:rFonts w:ascii="Arial" w:cs="Arial" w:eastAsia="Arial" w:hAnsi="Arial"/>
          <w:sz w:val="24"/>
          <w:szCs w:val="24"/>
        </w:rPr>
        <w:t xml:space="preserve"> Результаты оценки приведены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95,58%. Это означает, что вариации t_im_f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Две независимые переменные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EViews решает эту проблему без демонстрации результатов, что означает, что она должна быть решена системой.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уравнение пошлин на импорт является сильным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таможенных пошлин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3.3. Неналоговые доходы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Исследование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 приведенной выше диаграмме показана тесная взаимосвязь между неналоговыми доходами и скорректированной валовой операционной прибылью. Эта взаимосвязь была также подтверждена тестом причинности Грейнджера. Но ВВП как независимая переменная выглядит лучше.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04"/>
        <w:gridCol w:w="1234"/>
        <w:gridCol w:w="2441"/>
      </w:tblGrid>
      <w:tr>
        <w:tc>
          <w:tcPr>
            <w:tcW w:type="dxa" w:w="65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w:t>
            </w:r>
          </w:p>
        </w:tc>
        <w:tc>
          <w:tcPr>
            <w:tcW w:type="dxa" w:w="24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 в</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Неналоговый доход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Non_t</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Скорректированная валовая операционная прибыль</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Gos_adj</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5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w:t>
            </w:r>
          </w:p>
        </w:tc>
        <w:tc>
          <w:tcPr>
            <w:tcW w:type="dxa" w:w="2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оба временных ряда являются стационарными во второй разности, в качестве метода оценки нельзя использовать коинтеграцию. VAR является рекомендуемым методом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93,1%. Это означает, что вариации переменной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расчетное уравнение тестировалось на:</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возникает проблема гетероскедастичности;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двух приведенных выше тестов доказывают, что модель неналоговых доходов сильна со статистической точки зрения. Единственная проблема остается с гетероскедастичностью. Несмотря на этот факт, учитывая соответствие всем остальным критериям, уравнение может быть принято. Проблема гетероскедастичности при моделировании неналоговых доходов часто повторяется в зависимости от типа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неналоговых доходов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Все расчетные уравнения находятся в рабочем файле. Следующим шагом будет их копирование в модель.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таможенные пошлины. Нажмите на</w:t>
      </w:r>
      <w:r>
        <w:rPr>
          <w:rFonts w:ascii="Arial" w:cs="Arial" w:eastAsia="Arial" w:hAnsi="Arial"/>
          <w:sz w:val="24"/>
          <w:szCs w:val="24"/>
        </w:rPr>
        <w:t xml:space="preserve"> t_im_eq, </w:t>
      </w:r>
      <w:r>
        <w:rPr>
          <w:rFonts w:ascii="Arial" w:cs="Arial" w:eastAsia="Arial" w:hAnsi="Arial"/>
          <w:sz w:val="24"/>
          <w:szCs w:val="24"/>
        </w:rPr>
        <w:t xml:space="preserve">затем </w:t>
      </w:r>
      <w:r>
        <w:rPr>
          <w:rFonts w:ascii="Arial" w:cs="Arial" w:eastAsia="Arial" w:hAnsi="Arial"/>
          <w:sz w:val="24"/>
          <w:szCs w:val="24"/>
        </w:rPr>
        <w:t xml:space="preserve">View/Representations.</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модель kg_revenue_model, нажмите "Text". 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Последним шагом является копирование уравнения в модель. В этом контексте важно отметить, что уравнение t_im_f является только эконометрически оценочным уравнением, а не прогнозом общих таможенных пошлин.</w:t>
      </w:r>
    </w:p>
    <w:p>
      <w:pPr>
        <w:spacing w:after="120"/>
        <w:ind w:firstLine="708"/>
        <w:jc w:val="both"/>
      </w:pPr>
      <w:r>
        <w:rPr>
          <w:rFonts w:ascii="Arial" w:cs="Arial" w:eastAsia="Arial" w:hAnsi="Arial"/>
          <w:sz w:val="24"/>
          <w:szCs w:val="24"/>
        </w:rPr>
        <w:t xml:space="preserve">Суммарный прогноз таможенных пошлин определяется уравнением:</w:t>
      </w:r>
    </w:p>
    <w:p>
      <w:pPr>
        <w:spacing w:after="120"/>
        <w:jc w:val="both"/>
      </w:pPr>
      <w:r>
        <w:rPr>
          <w:rFonts w:ascii="Arial" w:cs="Arial" w:eastAsia="Arial" w:hAnsi="Arial"/>
          <w:sz w:val="24"/>
          <w:szCs w:val="24"/>
        </w:rPr>
        <w:t xml:space="preserve">T_im = t_im_f + t_im_add,</w:t>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t_im_add - дополнительные факторы, включенные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3.4.1. Использование дополнительных (Add) факторов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Причина использования дополнительных коэффициентов состоит в том, чтобы устранить проблему с большими остатками. Вводя дополнительные факторы, остаток будет установлен равным нулю в течение периода прогноза при решении модели. Одним из способов решения этой проблемы было бы изменение спецификации уравнения. Простейшей модификацией было бы добавление в уравнение авторегрессионного компонента, что помогло бы уменьшить постоянство ошибки. Лучшей альтернативой было бы попытаться изменить переменные в уравнении.</w:t>
      </w:r>
    </w:p>
    <w:p>
      <w:pPr>
        <w:spacing w:after="120"/>
        <w:ind w:firstLine="708"/>
        <w:jc w:val="both"/>
      </w:pPr>
      <w:r>
        <w:rPr>
          <w:rFonts w:ascii="Arial" w:cs="Arial" w:eastAsia="Arial" w:hAnsi="Arial"/>
          <w:sz w:val="24"/>
          <w:szCs w:val="24"/>
        </w:rPr>
        <w:t xml:space="preserve">Альтернативный подход к проблеме состоит в том, чтобы оставить уравнение как есть, но включить в модель дополнительный (Add) фактор, чтобы мы могли смоделировать путь остатка вручную.</w:t>
      </w:r>
    </w:p>
    <w:p>
      <w:pPr>
        <w:spacing w:after="120"/>
        <w:ind w:firstLine="708"/>
        <w:jc w:val="both"/>
      </w:pPr>
      <w:r>
        <w:rPr>
          <w:rFonts w:ascii="Arial" w:cs="Arial" w:eastAsia="Arial" w:hAnsi="Arial"/>
          <w:sz w:val="24"/>
          <w:szCs w:val="24"/>
        </w:rPr>
        <w:t xml:space="preserve">Еще одной причиной для включения дополнительного фактора являются ожидания, обусловленные политикой, в период прогнозирования. Естественно, такое ожидание не может найти поддержки в исторических данных, поэтому они дополняются отдельными временными рядами.</w:t>
      </w:r>
    </w:p>
    <w:p>
      <w:pPr>
        <w:spacing w:after="120"/>
        <w:ind w:firstLine="708"/>
        <w:jc w:val="both"/>
      </w:pPr>
      <w:r>
        <w:rPr>
          <w:rFonts w:ascii="Arial" w:cs="Arial" w:eastAsia="Arial" w:hAnsi="Arial"/>
          <w:sz w:val="24"/>
          <w:szCs w:val="24"/>
        </w:rPr>
        <w:t xml:space="preserve">Модель доходов позволяет использовать дополнительный коэффициент в каждом оценочном уравнении, как показывает kg_revenue_model.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(kg_revenue_model)</w:t>
      </w:r>
      <w:r>
        <w:rPr>
          <w:rFonts w:ascii="Arial" w:cs="Arial" w:eastAsia="Arial" w:hAnsi="Arial"/>
          <w:sz w:val="24"/>
          <w:szCs w:val="24"/>
        </w:rPr>
        <w:t xml:space="preserve"> и связанной модели для экзогенных переменных </w:t>
      </w:r>
      <w:r>
        <w:rPr>
          <w:rFonts w:ascii="Arial" w:cs="Arial" w:eastAsia="Arial" w:hAnsi="Arial"/>
          <w:b/>
          <w:bCs/>
          <w:sz w:val="24"/>
          <w:szCs w:val="24"/>
        </w:rPr>
        <w:t xml:space="preserve">(kg_revenue_exgenous).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Убедитесь, что вы на странице C-Revenue.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модель, откройте обе модели и просто щелкните "Solve" на панели окна модели (примите все свойства модели, как заданные).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эффективностью нашей модели относительно исторических данных,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на самом деле,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линий, а затем сравнении результатов.</w:t>
      </w:r>
    </w:p>
    <w:p>
      <w:pPr>
        <w:spacing w:after="120"/>
        <w:ind w:firstLine="708"/>
        <w:jc w:val="both"/>
      </w:pPr>
      <w:r>
        <w:rPr>
          <w:rFonts w:ascii="Arial" w:cs="Arial" w:eastAsia="Arial" w:hAnsi="Arial"/>
          <w:sz w:val="24"/>
          <w:szCs w:val="24"/>
        </w:rPr>
        <w:t xml:space="preserve">Список экзогенных переменных можно найти с помощью следующих инструкций:</w:t>
      </w:r>
    </w:p>
    <w:p>
      <w:pPr>
        <w:spacing w:after="120"/>
        <w:ind w:firstLine="708"/>
        <w:jc w:val="both"/>
      </w:pPr>
      <w:r>
        <w:rPr>
          <w:rFonts w:ascii="Arial" w:cs="Arial" w:eastAsia="Arial" w:hAnsi="Arial"/>
          <w:sz w:val="24"/>
          <w:szCs w:val="24"/>
        </w:rPr>
        <w:t xml:space="preserve">- откройте основную модель;</w:t>
      </w:r>
    </w:p>
    <w:p>
      <w:pPr>
        <w:spacing w:after="120"/>
        <w:ind w:firstLine="708"/>
        <w:jc w:val="both"/>
      </w:pPr>
      <w:r>
        <w:rPr>
          <w:rFonts w:ascii="Arial" w:cs="Arial" w:eastAsia="Arial" w:hAnsi="Arial"/>
          <w:sz w:val="24"/>
          <w:szCs w:val="24"/>
        </w:rPr>
        <w:t xml:space="preserve">- щелкните на переменные - панель покажет вам список всех переменных, используемых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этом контексте следует отметить, что каждая эндогенная переменная (58, как видно на панели выше) моделируется с помощью уравнений. Полный список уравнений доступен, если щелкнуть "Equations" в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Модельные сценарии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построению сценариев включены в Руководство пользователя по моделированию расходов.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Модельные сценарии позволяют конечным пользователям изучать, как модель ведет себя при альтернативных прогнозах экзогенных переменных и добавлять факторы.</w:t>
      </w:r>
    </w:p>
    <w:p>
      <w:pPr>
        <w:spacing w:after="120"/>
        <w:ind w:firstLine="708"/>
        <w:jc w:val="both"/>
      </w:pPr>
      <w:r>
        <w:rPr>
          <w:rFonts w:ascii="Arial" w:cs="Arial" w:eastAsia="Arial" w:hAnsi="Arial"/>
          <w:sz w:val="24"/>
          <w:szCs w:val="24"/>
        </w:rPr>
        <w:t xml:space="preserve">В сценарии путь экзогенной переменной можно изменить, переопределив переменную. Когда переменная переопределена, значения этой переменной будут получены из серии рабочих файлов, специфичных для данного сценария. Название серии формируется путем добавления к имени переменной суффикса, связанного со сценарием. Этот же суффикс также используется при хранении решений модели для сценария. С помощью сценариев легко сравнивать результаты, предсказанные моделью при различных предположениях, без необходимости редактировать структуру вашей модели.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Псевдоним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эндогенная переменная в модели может называться "Y", но когда EViews решает модель, она может присвоить результат наблюдению за серией в рабочем файле с именем "Y_0". Мы называем это сопоставление имен псевдонимом.</w:t>
      </w:r>
    </w:p>
    <w:p>
      <w:pPr>
        <w:spacing w:after="120"/>
        <w:ind w:firstLine="708"/>
        <w:jc w:val="both"/>
      </w:pPr>
      <w:r>
        <w:rPr>
          <w:rFonts w:ascii="Arial" w:cs="Arial" w:eastAsia="Arial" w:hAnsi="Arial"/>
          <w:sz w:val="24"/>
          <w:szCs w:val="24"/>
        </w:rPr>
        <w:t xml:space="preserve">Псевдонимы часто применяются к экзогенным переменным при использовании модельных сценариев. В следующей таблице приведен типичный пример того, как псевдонимы моделей могут отображать имена переменных в модели в имена рядов в рабочем файле: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6"/>
        <w:gridCol w:w="546"/>
        <w:gridCol w:w="747"/>
        <w:gridCol w:w="5819"/>
      </w:tblGrid>
      <w:tr>
        <w:tc>
          <w:tcPr>
            <w:tcW w:type="dxa" w:w="3066"/>
            <w:tcBorders>
              <w:top w:val="single" w:color="CBBF9E" w:sz="4"/>
              <w:left w:val="single" w:color="CBBF9E" w:sz="4"/>
              <w:bottom w:val="none" w:color="auto" w:sz="0"/>
              <w:right w:val="none" w:color="auto" w:sz="0"/>
            </w:tcBorders>
            <w:vAlign w:val="top"/>
          </w:tcPr>
          <w:p>
            <w:pPr>
              <w:jc w:val="left"/>
            </w:pPr>
            <w:r>
              <w:rPr>
                <w:rFonts w:ascii="Arial" w:cs="Arial" w:eastAsia="Arial" w:hAnsi="Arial"/>
                <w:b/>
                <w:bCs/>
                <w:sz w:val="24"/>
                <w:szCs w:val="24"/>
              </w:rPr>
              <w:t xml:space="preserve">Модельная переменная </w:t>
            </w:r>
          </w:p>
        </w:tc>
        <w:tc>
          <w:tcPr>
            <w:tcW w:type="dxa" w:w="546"/>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747"/>
            <w:tcBorders>
              <w:top w:val="single" w:color="CBBF9E" w:sz="4"/>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5819"/>
            <w:tcBorders>
              <w:top w:val="single" w:color="CBBF9E" w:sz="4"/>
              <w:left w:val="none" w:color="auto" w:sz="0"/>
              <w:bottom w:val="none" w:color="auto" w:sz="0"/>
              <w:right w:val="single" w:color="CBBF9E" w:sz="4"/>
            </w:tcBorders>
            <w:vAlign w:val="top"/>
          </w:tcPr>
          <w:p>
            <w:pPr>
              <w:jc w:val="left"/>
            </w:pPr>
            <w:r>
              <w:rPr>
                <w:rFonts w:ascii="Arial" w:cs="Arial" w:eastAsia="Arial" w:hAnsi="Arial"/>
                <w:b/>
                <w:bCs/>
                <w:sz w:val="24"/>
                <w:szCs w:val="24"/>
              </w:rPr>
              <w:t xml:space="preserve">Серия рабочих файлов</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Эндогенная Y</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Y_0</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Базовый сценарий</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Y_1</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Сценарий_1</w:t>
            </w:r>
          </w:p>
        </w:tc>
      </w:tr>
      <w:tr>
        <w:tc>
          <w:tcPr>
            <w:tcW w:type="dxa" w:w="3066"/>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Экзогенная X</w:t>
            </w:r>
          </w:p>
        </w:tc>
        <w:tc>
          <w:tcPr>
            <w:tcW w:type="dxa" w:w="546"/>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X</w:t>
            </w:r>
          </w:p>
        </w:tc>
        <w:tc>
          <w:tcPr>
            <w:tcW w:type="dxa" w:w="581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Исторические данные, за которыми следуют:</w:t>
            </w:r>
          </w:p>
          <w:p>
            <w:pPr>
              <w:jc w:val="left"/>
            </w:pPr>
            <w:r>
              <w:rPr>
                <w:rFonts w:ascii="Arial" w:cs="Arial" w:eastAsia="Arial" w:hAnsi="Arial"/>
                <w:sz w:val="24"/>
                <w:szCs w:val="24"/>
              </w:rPr>
              <w:t xml:space="preserve">Базовый прогноз</w:t>
            </w:r>
          </w:p>
        </w:tc>
      </w:tr>
      <w:tr>
        <w:tc>
          <w:tcPr>
            <w:tcW w:type="dxa" w:w="3066"/>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w:t>
            </w:r>
          </w:p>
        </w:tc>
        <w:tc>
          <w:tcPr>
            <w:tcW w:type="dxa" w:w="7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Х_1</w:t>
            </w:r>
          </w:p>
        </w:tc>
        <w:tc>
          <w:tcPr>
            <w:tcW w:type="dxa" w:w="5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Переопределенный прогноз для Сценария 1</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Открыв рабочий файл, вы можете найти 4 варианта псевдонимов. Возьмем в качестве примера налог на прибыль (CIT):</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Cit_0 - Базовый сценарий - прогноз, полученный с использованием экзогенных переменных в качестве исторических данных;</w:t>
      </w:r>
    </w:p>
    <w:p>
      <w:pPr>
        <w:spacing w:after="120"/>
        <w:ind w:firstLine="708"/>
        <w:jc w:val="both"/>
      </w:pPr>
      <w:r>
        <w:rPr>
          <w:rFonts w:ascii="Arial" w:cs="Arial" w:eastAsia="Arial" w:hAnsi="Arial"/>
          <w:sz w:val="24"/>
          <w:szCs w:val="24"/>
        </w:rPr>
        <w:t xml:space="preserve">- Cit_1 - Сценарий 1 -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Cit_2 - Сценарий 2 - прогноз, полученный с использованием переопределенного прогноза экзогенных переменных, специфичных для данного сценария;</w:t>
      </w:r>
    </w:p>
    <w:p>
      <w:pPr>
        <w:spacing w:after="120"/>
        <w:ind w:firstLine="708"/>
        <w:jc w:val="both"/>
      </w:pPr>
      <w:r>
        <w:rPr>
          <w:rFonts w:ascii="Arial" w:cs="Arial" w:eastAsia="Arial" w:hAnsi="Arial"/>
          <w:sz w:val="24"/>
          <w:szCs w:val="24"/>
        </w:rPr>
        <w:t xml:space="preserve">- Cit_3 - Сценарий 3 - прогноз, полученный с использованием переопределенного прогноза экзогенных переменных, специфичных для данного сценария.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Откройте модель и щелкните "scenario":</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Выберите исследуемый сценарий. Затем щелкните "ОК".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каждого вида налогов основан на прогнозе экзогенных переменных, в основном определяемых макроэкономическими прогнозами. Как пояснялось выше, результаты, полученные с помощью модели, обозначаются нулем (т.е. cit_0) для каждой эндогенной переменной. В заключение следует отметить, что CIT_0 представляет собой базовый сценарий прогноза налога на прибыль, полученный с помощью прогнозов соответствующих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сценарий - результаты моделирования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 хранятся в группе данных с именем kg_model_baseline_grp.: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Это окончательная структура результатов модели, автоматически создаваемых EViews. Для любых отчетно-аналитических целей эту таблицу можно скопировать в Excel.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Построение сценариев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1-3 ниже иллюстрируют возможности их использования. Соответствующий прогноз по каждому сценарию возникает в результате изменения траектории экзогенных переменных. Это изменение всегда измеряется относительно базового уровня. Именно по этой причине он получил название "базовый".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Сценарий 1 - Влияние увеличения внутреннего спроса и дефлятора реального ВВП на внутренний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что увеличение внутреннего спроса и дефлятора реального ВВП выше в сценарии 1, чем в базовом сценарии. В столбце С показаны базовые значения, а в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увеличения внутреннего спроса и дефлятора реального ВВП на увеличение внутреннего сбора НДС показано в таблице ниже. Опять же, vat_d_0 - это базовый прогноз, a vat_d_1 - это сценарий 1, полученный с учетом роста макроэкономических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2 - Влияние увеличения импорта на внешний НДС</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приведенных ниже таблицах показано увеличение импорта из третьих стран и ЕАЭС относительно базового сценария. Это увеличение было вызвано снижением обменного курса (ежегодно - 4%) и реального роста ВВП (ежегодно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внешний НДС.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Сценарий 3 - влияние изменений в налоговых ставках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(CIT rate) - уменьшение эффективной налоговой ставки на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Столбец В - это прогнозируемый сбор CIT в соответствии со Сценарием 3. Столбец С - это базовый сценарий. Ожидаемое влияние на налог на прибыль, будет следующее: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 это сценарии модели, описанные в предыдущей главе (сохранены как группа в рабочем файле EViews). Базовый сценарий можно найти в виде группы временных рядов под названием: kg_model_baseline.</w:t>
      </w:r>
    </w:p>
    <w:p>
      <w:pPr>
        <w:spacing w:after="120"/>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f32hoewpxdxpv_trkxrl2">
        <w:r>
          <w:rPr>
            <w:rFonts w:ascii="Arial" w:cs="Arial" w:eastAsia="Arial" w:hAnsi="Arial"/>
            <w:b w:val="false"/>
            <w:bCs w:val="false"/>
            <w:color w:val="1D4ED8"/>
            <w:sz w:val="24"/>
            <w:szCs w:val="24"/>
            <w:u w:val="single"/>
          </w:rPr>
          <w:t xml:space="preserve">Приложение 2</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Руководство пользователя по моделированию и прогнозированию</w:t>
      </w:r>
    </w:p>
    <w:p>
      <w:pPr>
        <w:spacing w:after="120"/>
        <w:jc w:val="center"/>
      </w:pPr>
      <w:r>
        <w:rPr>
          <w:rFonts w:ascii="Arial" w:cs="Arial" w:eastAsia="Arial" w:hAnsi="Arial"/>
          <w:b/>
          <w:bCs/>
          <w:sz w:val="24"/>
          <w:szCs w:val="24"/>
        </w:rPr>
        <w:t xml:space="preserve">государственных доходов (Местный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характеристики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Настоящее Руководство пользователя было разработано как дополнительная информация к "Руководству пользователя по моделированию и прогнозированию государственных доходов на центральном уровне". При написании этого документа внимание было уделено описанию различий между моделированием доходов на обоих уровнях. Во избежание повторения одного и того же текста больше, чем это необходимо, читателю рекомендуется использовать разработанную методику для центрального уровня для получения более подробной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Налоговая структура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нижеприведенной таблице представлена структура местных налогов, смоделированная по модели доходов.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63"/>
        <w:gridCol w:w="2718"/>
        <w:gridCol w:w="2597"/>
      </w:tblGrid>
      <w:tr>
        <w:tc>
          <w:tcPr>
            <w:tcW w:type="dxa" w:w="486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Вид налога</w:t>
            </w:r>
          </w:p>
        </w:tc>
        <w:tc>
          <w:tcPr>
            <w:tcW w:type="dxa" w:w="2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25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 в EViews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Специальные налоговые режимы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Str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объекты недвижимого имущества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Prop_re</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Имущество - транспортные средства</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Prop_trans</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приусадебные участки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Land_p</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сельхоз.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Land_agr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земли несельскохоз. назначения</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Land-nagr</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Roy</w:t>
            </w:r>
          </w:p>
        </w:tc>
      </w:tr>
      <w:tr>
        <w:tc>
          <w:tcPr>
            <w:tcW w:type="dxa" w:w="48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доходы</w:t>
            </w:r>
          </w:p>
        </w:tc>
        <w:tc>
          <w:tcPr>
            <w:tcW w:type="dxa" w:w="27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Минфин</w:t>
            </w:r>
          </w:p>
        </w:tc>
        <w:tc>
          <w:tcPr>
            <w:tcW w:type="dxa" w:w="25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Non_t</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Неналоговые поступления не моделируются на местном уровне, а принимаются в качестве экзогенной переменной.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Данные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Группа временных рядов ниже иллюстрирует налоговую структуру по данным, использованным в моделировании: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Данные о собираемых местных налогах получены из Министерства финансов, а пояснительные переменные из макро (экономических) прогнозов.</w:t>
      </w:r>
    </w:p>
    <w:p>
      <w:pPr>
        <w:spacing w:after="120"/>
        <w:ind w:firstLine="708"/>
        <w:jc w:val="both"/>
      </w:pPr>
      <w:r>
        <w:rPr>
          <w:rFonts w:ascii="Arial" w:cs="Arial" w:eastAsia="Arial" w:hAnsi="Arial"/>
          <w:sz w:val="24"/>
          <w:szCs w:val="24"/>
        </w:rPr>
        <w:t xml:space="preserve">При прогнозировании доходов на местном уровне макроэкономические прогнозы рассматриваются как экзогенные переменные и перечислены в подмодели kg_model_lc_exog. Для получения дополнительной информации нажмите на эту модель, затем на переменные, чтобы отобразить полный список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Примечание: экзогенные переменные отмечены желтым цветом. Приведенная выше подмодель открыта в базовом сценарии; этот сценарий используется основной моделью: kg_revenue_lc_model для получения результатов модели. Экзогенные переменные также создают основу для построения сценариев модели(1).</w:t>
      </w:r>
    </w:p>
    <w:p>
      <w:pPr>
        <w:spacing w:after="120"/>
        <w:jc w:val="both"/>
      </w:pPr>
      <w:r>
        <w:rPr>
          <w:rFonts w:ascii="Arial" w:cs="Arial" w:eastAsia="Arial" w:hAnsi="Arial"/>
          <w:i/>
          <w:iCs/>
          <w:sz w:val="24"/>
          <w:szCs w:val="24"/>
        </w:rPr>
        <w:t xml:space="preserve">Для построения модели были использованы за период с 2000-2021 годы с годовой периодичностью. Если не указано иное, используются реальные данные. Вычисления проводились с использованием эконометрической программы EViews. С документацией по необходимым процедурам и их практическом осуществлении можно ознакомиться в учебных материалах, прилагаемых к данному Руководству пользователя.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Методы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Проблема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Проблема нестационарности исторических данных была объяснена в методологии прогнозирования доходов на центральном уровне. К сожалению, эта проблема повторяется и на местном уровне, поэтому приведены некоторые замечания.</w:t>
      </w:r>
    </w:p>
    <w:p>
      <w:pPr>
        <w:spacing w:after="120"/>
        <w:ind w:firstLine="708"/>
        <w:jc w:val="both"/>
      </w:pPr>
      <w:r>
        <w:rPr>
          <w:rFonts w:ascii="Arial" w:cs="Arial" w:eastAsia="Arial" w:hAnsi="Arial"/>
          <w:sz w:val="24"/>
          <w:szCs w:val="24"/>
        </w:rPr>
        <w:t xml:space="preserve">Краткое резюме: регрессия нестационарных временных рядов на другие нестационарные временные ряды может привести к ложной или бессмысленной регрессии. Ложная модель нежелательна. Эта проблема была решена с учетом следующих условий:</w:t>
      </w:r>
    </w:p>
    <w:p>
      <w:pPr>
        <w:spacing w:after="120"/>
        <w:ind w:firstLine="708"/>
        <w:jc w:val="both"/>
      </w:pPr>
      <w:r>
        <w:rPr>
          <w:rFonts w:ascii="Arial" w:cs="Arial" w:eastAsia="Arial" w:hAnsi="Arial"/>
          <w:sz w:val="24"/>
          <w:szCs w:val="24"/>
        </w:rPr>
        <w:t xml:space="preserve">- если ряды являются стационарными по первой разности, то соответствующей методологией моделирования является коинтеграция с механизмом исправления ошибок;</w:t>
      </w:r>
    </w:p>
    <w:p>
      <w:pPr>
        <w:spacing w:after="120"/>
        <w:ind w:firstLine="708"/>
        <w:jc w:val="both"/>
      </w:pPr>
      <w:r>
        <w:rPr>
          <w:rFonts w:ascii="Arial" w:cs="Arial" w:eastAsia="Arial" w:hAnsi="Arial"/>
          <w:sz w:val="24"/>
          <w:szCs w:val="24"/>
        </w:rPr>
        <w:t xml:space="preserve">- если она является стационарной по тренду, то переменная тренда должна быть введена в правую часть уравнения регрессии для обеспечения стационарных свойств;</w:t>
      </w:r>
    </w:p>
    <w:p>
      <w:pPr>
        <w:spacing w:after="120"/>
        <w:ind w:firstLine="708"/>
        <w:jc w:val="both"/>
      </w:pPr>
      <w:r>
        <w:rPr>
          <w:rFonts w:ascii="Arial" w:cs="Arial" w:eastAsia="Arial" w:hAnsi="Arial"/>
          <w:sz w:val="24"/>
          <w:szCs w:val="24"/>
        </w:rPr>
        <w:t xml:space="preserve">- если ряды являются стационарными по тренду со структурными разрывами, тогда наряду с трендом соответствующие ложные модели структурных разрывов должны войти в уравнение регрессии для обеспечения стационарных свойств. В таких случаях будет уместна традиционная методология спецификации и оценки.</w:t>
      </w:r>
    </w:p>
    <w:p>
      <w:pPr>
        <w:spacing w:after="120"/>
        <w:ind w:firstLine="708"/>
        <w:jc w:val="both"/>
      </w:pPr>
      <w:r>
        <w:rPr>
          <w:rFonts w:ascii="Arial" w:cs="Arial" w:eastAsia="Arial" w:hAnsi="Arial"/>
          <w:sz w:val="24"/>
          <w:szCs w:val="24"/>
        </w:rPr>
        <w:t xml:space="preserve">Для выявления проблемы нестационарности используется тестирование на наличие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ind w:firstLine="708"/>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Рекомендуется использовать стандартный расширенный тест Дики-Фуллера (ADF). Вероятными результатами тестирования являются:</w:t>
      </w:r>
    </w:p>
    <w:p>
      <w:pPr>
        <w:spacing w:after="120"/>
        <w:ind w:firstLine="708"/>
        <w:jc w:val="both"/>
      </w:pPr>
      <w:r>
        <w:rPr>
          <w:rFonts w:ascii="Arial" w:cs="Arial" w:eastAsia="Arial" w:hAnsi="Arial"/>
          <w:sz w:val="24"/>
          <w:szCs w:val="24"/>
        </w:rPr>
        <w:t xml:space="preserve">1) ряды интегрируются нулевого порядка, т.е. стационарны по уровню (без разности);</w:t>
      </w:r>
    </w:p>
    <w:p>
      <w:pPr>
        <w:spacing w:after="120"/>
        <w:ind w:firstLine="708"/>
        <w:jc w:val="both"/>
      </w:pPr>
      <w:r>
        <w:rPr>
          <w:rFonts w:ascii="Arial" w:cs="Arial" w:eastAsia="Arial" w:hAnsi="Arial"/>
          <w:sz w:val="24"/>
          <w:szCs w:val="24"/>
        </w:rPr>
        <w:t xml:space="preserve">2) ряды интегрируются первого порядка, т.е. есть стационарны после первой разности;</w:t>
      </w:r>
    </w:p>
    <w:p>
      <w:pPr>
        <w:spacing w:after="120"/>
        <w:ind w:firstLine="708"/>
        <w:jc w:val="both"/>
      </w:pPr>
      <w:r>
        <w:rPr>
          <w:rFonts w:ascii="Arial" w:cs="Arial" w:eastAsia="Arial" w:hAnsi="Arial"/>
          <w:sz w:val="24"/>
          <w:szCs w:val="24"/>
        </w:rPr>
        <w:t xml:space="preserve">3) ряды интегрируются разных порядков, т.е. имеют комбинацию рядов I (0) и I (1).</w:t>
      </w:r>
    </w:p>
    <w:p>
      <w:pPr>
        <w:spacing w:after="120"/>
        <w:ind w:firstLine="708"/>
        <w:jc w:val="both"/>
      </w:pPr>
      <w:r>
        <w:rPr>
          <w:rFonts w:ascii="Arial" w:cs="Arial" w:eastAsia="Arial" w:hAnsi="Arial"/>
          <w:sz w:val="24"/>
          <w:szCs w:val="24"/>
        </w:rPr>
        <w:t xml:space="preserve">Временной ряд может быть стационарным в разных порядках, например, сочетание уровня и стационарности при первой или второй разнице. Эта комбинация определяет метод оценки.</w:t>
      </w:r>
    </w:p>
    <w:p>
      <w:pPr>
        <w:spacing w:after="120"/>
        <w:ind w:firstLine="708"/>
        <w:jc w:val="both"/>
      </w:pPr>
      <w:r>
        <w:rPr>
          <w:rFonts w:ascii="Arial" w:cs="Arial" w:eastAsia="Arial" w:hAnsi="Arial"/>
          <w:sz w:val="24"/>
          <w:szCs w:val="24"/>
        </w:rPr>
        <w:t xml:space="preserve">Если все переменные интегрированы по первой разности, необходимо провести тест на коинтеграцию (предварительное условие для установления долгосрочных связей). Существует два варианта: (i) использование коинтеграционного теста Йохансена или (ii) Bounds tests (метод пограничных значений) - предложенный Пезараном, Шином и Смитом (2001).</w:t>
      </w:r>
    </w:p>
    <w:p>
      <w:pPr>
        <w:spacing w:after="120"/>
        <w:jc w:val="both"/>
      </w:pPr>
      <w:r>
        <w:rPr>
          <w:rFonts w:ascii="Arial" w:cs="Arial" w:eastAsia="Arial" w:hAnsi="Arial"/>
          <w:sz w:val="24"/>
          <w:szCs w:val="24"/>
        </w:rPr>
        <w:t xml:space="preserve">На приведенной ниже Схеме 1 показаны возможные 5 результатов тестирования на единичный корень (синим цветом). Затем коричневым цветом предлагаются методы оценки, которые следует применять в зависимости от результатов тестирования на единичный корень.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1. Выбор методов оценки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Например, результат тестирования единичного корня: "Все переменные стационарны на уровне" (первый синий прямоугольник во втором ряду). Этот результат позволяет нам использовать простую регрессию (OLS) для получения долгосрочных взаимосвязей.</w:t>
      </w:r>
    </w:p>
    <w:p>
      <w:pPr>
        <w:spacing w:after="120"/>
        <w:ind w:firstLine="708"/>
        <w:jc w:val="both"/>
      </w:pPr>
      <w:r>
        <w:rPr>
          <w:rFonts w:ascii="Arial" w:cs="Arial" w:eastAsia="Arial" w:hAnsi="Arial"/>
          <w:sz w:val="24"/>
          <w:szCs w:val="24"/>
        </w:rPr>
        <w:t xml:space="preserve">Второй результат заключается в том, что переменные стационарны на уровне или в первой разности. Их можно интегрировать на уровне I (0) или в первой разности I (1). При условии, что мы получим этот результат, рекомендуется использовать модель авторегрессии с распределенным лагом (ARDL).</w:t>
      </w:r>
    </w:p>
    <w:p>
      <w:pPr>
        <w:spacing w:after="120"/>
        <w:ind w:firstLine="708"/>
        <w:jc w:val="both"/>
      </w:pPr>
      <w:r>
        <w:rPr>
          <w:rFonts w:ascii="Arial" w:cs="Arial" w:eastAsia="Arial" w:hAnsi="Arial"/>
          <w:sz w:val="24"/>
          <w:szCs w:val="24"/>
        </w:rPr>
        <w:t xml:space="preserve">Третий вариант заключается в том, что все переменные стационарны в первой разности. В этом случае временной ряд следует протестировать на коинтеграцию. Если тест отрицательный, предлагается запустить неограниченную модель векторной авторегрессии (VAR). С другой стороны, если коинтеграция доказана тестированием, модель коррекции ошибок является решением. Число эндогенных переменных будет определять окончательное решение. Если имеется только одна эндогенная переменная, следует использовать модель коррекции ошибок (ЕСМ). Однако, если эндогенных переменных больше, векторная модель коррекции ошибок (VECM) является одним их возможных вариантов.</w:t>
      </w:r>
    </w:p>
    <w:p>
      <w:pPr>
        <w:spacing w:after="120"/>
        <w:ind w:firstLine="708"/>
        <w:jc w:val="both"/>
      </w:pPr>
      <w:r>
        <w:rPr>
          <w:rFonts w:ascii="Arial" w:cs="Arial" w:eastAsia="Arial" w:hAnsi="Arial"/>
          <w:sz w:val="24"/>
          <w:szCs w:val="24"/>
        </w:rPr>
        <w:t xml:space="preserve">Четвертая возможность состоит в том, что временные ряды стационарны либо в первой, либо во второй разности. Авторегрессионные модели являются предлагаемым решением.</w:t>
      </w:r>
    </w:p>
    <w:p>
      <w:pPr>
        <w:spacing w:after="120"/>
        <w:ind w:firstLine="708"/>
        <w:jc w:val="both"/>
      </w:pPr>
      <w:r>
        <w:rPr>
          <w:rFonts w:ascii="Arial" w:cs="Arial" w:eastAsia="Arial" w:hAnsi="Arial"/>
          <w:sz w:val="24"/>
          <w:szCs w:val="24"/>
        </w:rPr>
        <w:t xml:space="preserve">Последний вариант не был идентифицирован тестированием единичного корня.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Модельные уравнения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разделе 1.1. была представлена налоговая структура модели. Под моделированием понимается процесс разработки уравнения для каждого вида налога, который включает следующие этапы:</w:t>
      </w:r>
    </w:p>
    <w:p>
      <w:pPr>
        <w:spacing w:after="120"/>
        <w:ind w:firstLine="708"/>
        <w:jc w:val="both"/>
      </w:pPr>
      <w:r>
        <w:rPr>
          <w:rFonts w:ascii="Arial" w:cs="Arial" w:eastAsia="Arial" w:hAnsi="Arial"/>
          <w:sz w:val="24"/>
          <w:szCs w:val="24"/>
        </w:rPr>
        <w:t xml:space="preserve">- определить функциональную форму;</w:t>
      </w:r>
    </w:p>
    <w:p>
      <w:pPr>
        <w:spacing w:after="120"/>
        <w:ind w:firstLine="708"/>
        <w:jc w:val="both"/>
      </w:pPr>
      <w:r>
        <w:rPr>
          <w:rFonts w:ascii="Arial" w:cs="Arial" w:eastAsia="Arial" w:hAnsi="Arial"/>
          <w:sz w:val="24"/>
          <w:szCs w:val="24"/>
        </w:rPr>
        <w:t xml:space="preserve">- изучить данные;</w:t>
      </w:r>
    </w:p>
    <w:p>
      <w:pPr>
        <w:spacing w:after="120"/>
        <w:ind w:firstLine="708"/>
        <w:jc w:val="both"/>
      </w:pPr>
      <w:r>
        <w:rPr>
          <w:rFonts w:ascii="Arial" w:cs="Arial" w:eastAsia="Arial" w:hAnsi="Arial"/>
          <w:sz w:val="24"/>
          <w:szCs w:val="24"/>
        </w:rPr>
        <w:t xml:space="preserve">- провести тестирование на наличие единичного корня;</w:t>
      </w:r>
    </w:p>
    <w:p>
      <w:pPr>
        <w:spacing w:after="120"/>
        <w:ind w:firstLine="708"/>
        <w:jc w:val="both"/>
      </w:pPr>
      <w:r>
        <w:rPr>
          <w:rFonts w:ascii="Arial" w:cs="Arial" w:eastAsia="Arial" w:hAnsi="Arial"/>
          <w:sz w:val="24"/>
          <w:szCs w:val="24"/>
        </w:rPr>
        <w:t xml:space="preserve">- выбрать метод оценки;</w:t>
      </w:r>
    </w:p>
    <w:p>
      <w:pPr>
        <w:spacing w:after="120"/>
        <w:ind w:firstLine="708"/>
        <w:jc w:val="both"/>
      </w:pPr>
      <w:r>
        <w:rPr>
          <w:rFonts w:ascii="Arial" w:cs="Arial" w:eastAsia="Arial" w:hAnsi="Arial"/>
          <w:sz w:val="24"/>
          <w:szCs w:val="24"/>
        </w:rPr>
        <w:t xml:space="preserve">- интерпретировать результат оценки;</w:t>
      </w:r>
    </w:p>
    <w:p>
      <w:pPr>
        <w:spacing w:after="120"/>
        <w:ind w:firstLine="708"/>
        <w:jc w:val="both"/>
      </w:pPr>
      <w:r>
        <w:rPr>
          <w:rFonts w:ascii="Arial" w:cs="Arial" w:eastAsia="Arial" w:hAnsi="Arial"/>
          <w:sz w:val="24"/>
          <w:szCs w:val="24"/>
        </w:rPr>
        <w:t xml:space="preserve">- провести остаточную диагностику;</w:t>
      </w:r>
    </w:p>
    <w:p>
      <w:pPr>
        <w:spacing w:after="120"/>
        <w:ind w:firstLine="708"/>
        <w:jc w:val="both"/>
      </w:pPr>
      <w:r>
        <w:rPr>
          <w:rFonts w:ascii="Arial" w:cs="Arial" w:eastAsia="Arial" w:hAnsi="Arial"/>
          <w:sz w:val="24"/>
          <w:szCs w:val="24"/>
        </w:rPr>
        <w:t xml:space="preserve">- провести тестирование стабильности;</w:t>
      </w:r>
    </w:p>
    <w:p>
      <w:pPr>
        <w:spacing w:after="120"/>
        <w:ind w:firstLine="708"/>
        <w:jc w:val="both"/>
      </w:pPr>
      <w:r>
        <w:rPr>
          <w:rFonts w:ascii="Arial" w:cs="Arial" w:eastAsia="Arial" w:hAnsi="Arial"/>
          <w:sz w:val="24"/>
          <w:szCs w:val="24"/>
        </w:rPr>
        <w:t xml:space="preserve">- составить налоговый прогноз.</w:t>
      </w:r>
    </w:p>
    <w:p>
      <w:pPr>
        <w:spacing w:after="120"/>
        <w:ind w:firstLine="708"/>
        <w:jc w:val="both"/>
      </w:pPr>
      <w:r>
        <w:rPr>
          <w:rFonts w:ascii="Arial" w:cs="Arial" w:eastAsia="Arial" w:hAnsi="Arial"/>
          <w:sz w:val="24"/>
          <w:szCs w:val="24"/>
        </w:rPr>
        <w:t xml:space="preserve">При моделировании и прогнозировании налогов на местном уровне можно следовать приведенным выше шагам. С документацией по необходимым процедурам и их практическом осуществлении можно ознакомиться в учебных материалах, прилагаемом к данному Руководству пользователя.</w:t>
      </w:r>
    </w:p>
    <w:p>
      <w:pPr>
        <w:spacing w:after="120"/>
        <w:ind w:firstLine="708"/>
        <w:jc w:val="both"/>
      </w:pPr>
      <w:r>
        <w:rPr>
          <w:rFonts w:ascii="Arial" w:cs="Arial" w:eastAsia="Arial" w:hAnsi="Arial"/>
          <w:sz w:val="24"/>
          <w:szCs w:val="24"/>
        </w:rPr>
        <w:t xml:space="preserve">Следующие разделы описывают процесс оценки уравнений модели более подробно. Незначительные проблемы неправильной спецификации в отдельных уравнениях допускались, если соответствующая спецификация существенно влияла в общий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Подоходный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выводится из общепринятой теории и/или из личного опыта разработчика модели, участвующего в составлении прогнозов доходов. Рекомендуется записывать эту связь как функцию зависимой переменной (вид налога - подоходный налог - PIT) и объясняющих переменных, которые должны объяснять получение PIT в прошлом.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PIT = f (p_wages, g_wages, pit_r,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Следующим шагом является доказательство того, что теория работает, а это означает, что она может найти поддержку в исторических данных.</w:t>
      </w:r>
    </w:p>
    <w:p>
      <w:pPr>
        <w:spacing w:after="120"/>
        <w:ind w:firstLine="708"/>
        <w:jc w:val="both"/>
      </w:pPr>
      <w:r>
        <w:rPr>
          <w:rFonts w:ascii="Arial" w:cs="Arial" w:eastAsia="Arial" w:hAnsi="Arial"/>
          <w:sz w:val="24"/>
          <w:szCs w:val="24"/>
        </w:rPr>
        <w:t xml:space="preserve">Попарный тест на причинность по Грейнджеру является полезным инструментом для изучения данных в этом смысле. Во-первых, проверялась взаимосвязь между подоходным налогом и заработной платой.</w:t>
      </w:r>
    </w:p>
    <w:p>
      <w:pPr>
        <w:spacing w:after="120"/>
        <w:ind w:firstLine="708"/>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Общие рекомендации по интерпретации этого теста: если соответствующая вероятность (prob. - последний столбец) меньше 5%, мы можем отвергнуть нулевой гипотезы (Н0) и принять альтернативную (Н1). Нулевая гипотеза записана в результате теста, то есть причинно-следственная связь отсутствует.</w:t>
            </w:r>
          </w:p>
        </w:tc>
      </w:tr>
    </w:tbl>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мала для p_wages и g_wages (менее 5%), поэтому мы можем отвергнуть нулевую гипотезу, показанную в тесте, и принять Н1, который подтверждает сильную двунаправленную причинно-следственную связь между подоходным налогом и p_wages и g_wages.</w:t>
      </w:r>
    </w:p>
    <w:p>
      <w:pPr>
        <w:spacing w:after="120"/>
        <w:ind w:firstLine="708"/>
        <w:jc w:val="both"/>
      </w:pPr>
      <w:r>
        <w:rPr>
          <w:rFonts w:ascii="Arial" w:cs="Arial" w:eastAsia="Arial" w:hAnsi="Arial"/>
          <w:sz w:val="24"/>
          <w:szCs w:val="24"/>
        </w:rPr>
        <w:t xml:space="preserve">Во-вторых, было исследовано влияние инфляции. Инфляция или общий рост уровня цен представлена тремя переменными: pgdp (дефлятор ВВП), cpi (индекс потребительских цен) и pgdp_2010 (дефлятор реального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видно, pgdp и pgdp_2010 нельзя использовать в качестве объясняющих переменных (соответствующая вероятность более 5%). С другой стороны, индекс потребительских цен может влиять на PIT (менее 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Ставка налога на прибыль (pit_r)</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Ставка налога на прибыль рассчитывалась как эффективная налоговая ставка по формуле (см. pit_r в рабочем файле EViews).</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Для обнаружения (не)стационарности использовался расширенный тест Дики-Фуллера (ADF). В таблице ниже представлены результаты тестирования.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22"/>
        <w:gridCol w:w="1948"/>
        <w:gridCol w:w="2308"/>
      </w:tblGrid>
      <w:tr>
        <w:tc>
          <w:tcPr>
            <w:tcW w:type="dxa" w:w="59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частном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2-ой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 в государственном секторе</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p_wages</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Эффективная ставка подоходного налога</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PIT_R</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r>
        <w:tc>
          <w:tcPr>
            <w:tcW w:type="dxa" w:w="59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CPI</w:t>
            </w:r>
          </w:p>
        </w:tc>
        <w:tc>
          <w:tcPr>
            <w:tcW w:type="dxa" w:w="23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схему 1 (стр. 6), результаты тестирования ADF создают основу для использования авторегрессионной модели в качестве оптимального решения. Руководство по построению и запуску моделей авторегрессии было объяснено в рамках реализованной программы обучения.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Совет: не продолжайте работу до ознакомления с учебными документами.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Ниже приведен результат оценки модели авторегрессии: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99,38%. Это означает, что изменения PIT почти полностью объясняются независимыми переменными. Это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Ни одна из независимых переменных не является значимой.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Эти критерии не имеет смысла использовать в авторегрессионных моделях, они совместно зависимы по определению.</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Если знак положительный, это означает, что если p_wages увеличится на 1 единицу, PIT вырастет на 0,01 единицы. При условии, что другие независимые переменные остаются постоянными. Если знак отрицательный, если pit_r увеличится на 1 единицу, PIT уменьшится, при условии, что остальные независимые переменные фиксированы.</w:t>
      </w:r>
    </w:p>
    <w:p>
      <w:pPr>
        <w:spacing w:after="120"/>
        <w:ind w:firstLine="708"/>
        <w:jc w:val="both"/>
      </w:pPr>
      <w:r>
        <w:rPr>
          <w:rFonts w:ascii="Arial" w:cs="Arial" w:eastAsia="Arial" w:hAnsi="Arial"/>
          <w:b/>
          <w:bCs/>
          <w:sz w:val="24"/>
          <w:szCs w:val="24"/>
        </w:rPr>
        <w:t xml:space="preserve">5. 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рекомендации по использованию тестирования серийной корреляции можно найти в руководстве пользователя, предназначенном для центрального уровня, в разделе 3.1.1 (стр. 12).</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заключение следует отметить, что результаты трех вышеприведенных тестов не вызывают никаких проблем с точки зрения статистики. Тогда уравнение PIT может быть принято.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Стабильность оцениваемого уравнения была подтверждена с помощью теста CUSUM, поскольку линия уравнения (синяя) находится в интервале значимости, заданном двумя красными линиями, как показано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Рекомендации в EViews по созданию теста CUSUM</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уравнение</w:t>
      </w:r>
      <w:r>
        <w:rPr>
          <w:rFonts w:ascii="Arial" w:cs="Arial" w:eastAsia="Arial" w:hAnsi="Arial"/>
          <w:sz w:val="24"/>
          <w:szCs w:val="24"/>
        </w:rPr>
        <w:t xml:space="preserve">, </w:t>
      </w:r>
      <w:r>
        <w:rPr>
          <w:rFonts w:ascii="Arial" w:cs="Arial" w:eastAsia="Arial" w:hAnsi="Arial"/>
          <w:sz w:val="24"/>
          <w:szCs w:val="24"/>
        </w:rPr>
        <w:t xml:space="preserve">затем </w:t>
      </w:r>
      <w:r>
        <w:rPr>
          <w:rFonts w:ascii="Arial" w:cs="Arial" w:eastAsia="Arial" w:hAnsi="Arial"/>
          <w:sz w:val="24"/>
          <w:szCs w:val="24"/>
        </w:rPr>
        <w:t xml:space="preserve">View/Stability diagnostics/Recursive estimates/CUSUM test.</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прибыль</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итоге, прогноз налога на прибыль был произведен эконометрически. Для получения дополнительной информации откройте временной ряд pit_f.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процесс моделирования был описан в этом разделе. Следующие виды налогов не описываются столь подробно, ограничиваясь основными результатами. Если требуется дополнительная информация, читателю рекомендуется использовать раздел 3.1 или методологию на центральном уровне или учебные материалы, распространяемые в Министерстве финансов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Земельный налог</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Поступления по земельному налогу состоят из:</w:t>
      </w:r>
    </w:p>
    <w:p>
      <w:pPr>
        <w:spacing w:after="120"/>
        <w:ind w:firstLine="708"/>
        <w:jc w:val="both"/>
      </w:pPr>
      <w:r>
        <w:rPr>
          <w:rFonts w:ascii="Arial" w:cs="Arial" w:eastAsia="Arial" w:hAnsi="Arial"/>
          <w:sz w:val="24"/>
          <w:szCs w:val="24"/>
        </w:rPr>
        <w:t xml:space="preserve">- земельный налог на приусадебные участки;</w:t>
      </w:r>
    </w:p>
    <w:p>
      <w:pPr>
        <w:spacing w:after="120"/>
        <w:ind w:firstLine="708"/>
        <w:jc w:val="both"/>
      </w:pPr>
      <w:r>
        <w:rPr>
          <w:rFonts w:ascii="Arial" w:cs="Arial" w:eastAsia="Arial" w:hAnsi="Arial"/>
          <w:sz w:val="24"/>
          <w:szCs w:val="24"/>
        </w:rPr>
        <w:t xml:space="preserve">- земельный налог на земли сельскохозяйственного назначения;</w:t>
      </w:r>
    </w:p>
    <w:p>
      <w:pPr>
        <w:spacing w:after="120"/>
        <w:ind w:firstLine="708"/>
        <w:jc w:val="both"/>
      </w:pPr>
      <w:r>
        <w:rPr>
          <w:rFonts w:ascii="Arial" w:cs="Arial" w:eastAsia="Arial" w:hAnsi="Arial"/>
          <w:sz w:val="24"/>
          <w:szCs w:val="24"/>
        </w:rPr>
        <w:t xml:space="preserve">-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3.2.1. Земельный налог - приусадебные участки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Land_p = f (agriculture, dummy variable)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Анализ и оценка данных являются первым шагом в построении модели.</w:t>
      </w:r>
    </w:p>
    <w:p>
      <w:pPr>
        <w:spacing w:after="120"/>
        <w:ind w:firstLine="708"/>
        <w:jc w:val="both"/>
      </w:pPr>
      <w:r>
        <w:rPr>
          <w:rFonts w:ascii="Arial" w:cs="Arial" w:eastAsia="Arial" w:hAnsi="Arial"/>
          <w:sz w:val="24"/>
          <w:szCs w:val="24"/>
        </w:rPr>
        <w:t xml:space="preserve">В рамках парного теста Грейнджера анализируется причинно-следственная связь между земельным налогом (приусадебные участки) и объемом производства в сельскохозяйственном секторе со следующим результатом: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Соответствующая вероятность очень низка (2,99%), что подтверждает однонаправленную причинно-следственную связь. Можно констатировать, что ожидаемый рост сельскохозяйственного производства будет сопровождаться ростом сбора налогов.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Прежде чем выбрать метод оценки, необходимо проверить временные ряды на наличие единичного корня или стационарность. Для этого применяется стандартный расширенный тест Дики-Фуллера (ADF). Если тестирование доказывает, что данные являются стационарными, можно использовать OLS. Однако, если тест показывает проблему нестационарности временного ряда, рекомендуется использовать методы оценки, показанные на стр. 4.</w:t>
      </w:r>
    </w:p>
    <w:p>
      <w:pPr>
        <w:spacing w:after="120"/>
        <w:ind w:firstLine="708"/>
        <w:jc w:val="both"/>
      </w:pPr>
      <w:r>
        <w:rPr>
          <w:rFonts w:ascii="Arial" w:cs="Arial" w:eastAsia="Arial" w:hAnsi="Arial"/>
          <w:sz w:val="24"/>
          <w:szCs w:val="24"/>
        </w:rPr>
        <w:t xml:space="preserve">Зависимая переменная land_p нестационарна на уровне, но стационарна на первой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должна быть также протестирована объясняющая переменная agr. Этот временной ряд сильно нестационарен на уровне и первой разности, стационарен на второй разности.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Можно сделать вывод, что переменная agr является нестационарной на уровне, но стационарной во второй разности (соответствующая вероятность составляет мене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16"/>
        <w:gridCol w:w="1997"/>
        <w:gridCol w:w="2365"/>
      </w:tblGrid>
      <w:tr>
        <w:tc>
          <w:tcPr>
            <w:tcW w:type="dxa" w:w="58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199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36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приусадебные участки</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Land_p</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8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Поскольку land tax_p (земельный налог на приусадебные участки) является стационарным в 1 разности, а сельское хозяйство (agr) стационарным во второй разности, была применена </w:t>
      </w:r>
      <w:r>
        <w:rPr>
          <w:rFonts w:ascii="Arial" w:cs="Arial" w:eastAsia="Arial" w:hAnsi="Arial"/>
          <w:b/>
          <w:bCs/>
          <w:sz w:val="24"/>
          <w:szCs w:val="24"/>
        </w:rPr>
        <w:t xml:space="preserve">vector autoregression model.</w:t>
      </w:r>
      <w:r>
        <w:rPr>
          <w:rFonts w:ascii="Arial" w:cs="Arial" w:eastAsia="Arial" w:hAnsi="Arial"/>
          <w:sz w:val="24"/>
          <w:szCs w:val="24"/>
        </w:rPr>
        <w:t xml:space="preserve">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95,938%. Это означает, что вариации land_p_f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Одна независимая переменная не имеет значения.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с соответствующей вероятностью равна 0, то все объясняющие переменные могут совместно влиять на зависимую переменную. Это причина, по которой модель может быть принята, несмотря на низкую Т-статистику.</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оценочное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имеют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доказали, что модель land_p может соответствовать 2 критериям из 3. Остатки не являются нормально распределенными, но, несмотря на это уравнение принимается.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land_p</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3.2.2. Земельный налог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Теория оценки основана на предположении, что налог на земли сельскохозяйственного назначения зависит от развития сельскохозяйственного сектора и общего уровня цен.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(agriculture,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причинности Грейнджера анализирует причинно-следственные связи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четко показывает причинно-следственную связь между земельным налогом и сельскохозяйственным производством в первом результате (вторая строка). Во-вторых, причинно-следственная связь была выявлена между ценами (pgdp_2010) и сельским хозяйством. Третья строка подтвердила причинно-следственную связь между ценами и земельным налогом.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0"/>
        <w:gridCol w:w="1700"/>
        <w:gridCol w:w="2068"/>
      </w:tblGrid>
      <w:tr>
        <w:tc>
          <w:tcPr>
            <w:tcW w:type="dxa" w:w="64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70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6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сельхоз. назначения</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Agr</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2-ой разности</w:t>
            </w:r>
          </w:p>
        </w:tc>
      </w:tr>
      <w:tr>
        <w:tc>
          <w:tcPr>
            <w:tcW w:type="dxa" w:w="64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Учитывая результаты тестирования ADF, </w:t>
      </w:r>
      <w:r>
        <w:rPr>
          <w:rFonts w:ascii="Arial" w:cs="Arial" w:eastAsia="Arial" w:hAnsi="Arial"/>
          <w:b/>
          <w:bCs/>
          <w:sz w:val="24"/>
          <w:szCs w:val="24"/>
        </w:rPr>
        <w:t xml:space="preserve">vector autoregression model</w:t>
      </w:r>
      <w:r>
        <w:rPr>
          <w:rFonts w:ascii="Arial" w:cs="Arial" w:eastAsia="Arial" w:hAnsi="Arial"/>
          <w:sz w:val="24"/>
          <w:szCs w:val="24"/>
        </w:rPr>
        <w:t xml:space="preserve"> представляется лучшим решением.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93,84%. Это означает, что колебания земельного налога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статистически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Данный тип не предоставляет F-статистику, что означает, что этот вопрос был решен автоматически с помощью системы уравнений.</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соответствовать либо экономической теории, либо ожиданиям, либо интуиции. Если знак положительный, это означает, что если независимая переменная увеличится на 1 единицу, то налоговые поступления также вырастут. При условии, что другие независимые переменные остаются неизменными. Если знак отрицательный, значит, если независимая переменная увеличится на 1 единицу, налоговые поступления уменьшатся, при условии, что остальные независимые переменные остаются неизменными.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вышеуказанных тестов доказывают, что уравнение land_agr не имеет серийной корреляции (автокорреляции), гетероскедастичности или проблем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3.2.3.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налог, уплачиваемый несельскохозяйственными секторами, должен быть функцией: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Land_agr = f (gdp_fc,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ind w:firstLine="708"/>
        <w:jc w:val="both"/>
      </w:pPr>
      <w:r>
        <w:rPr>
          <w:rFonts w:ascii="Arial" w:cs="Arial" w:eastAsia="Arial" w:hAnsi="Arial"/>
          <w:sz w:val="24"/>
          <w:szCs w:val="24"/>
        </w:rPr>
        <w:t xml:space="preserve">Тест Грейнджера выявил сильную однонаправленную причинно-следственную связь между налогом и ВВП по факторным затратам. Мы можем предположить, что любое увеличение налога повлияет на ВВП по факторным затратам.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Такую же аргументацию можно увидеть в однонаправленных зависимостях между ценами и земельным налогом, уплачиваемым несельскохозяйственными секторами.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81"/>
        <w:gridCol w:w="1567"/>
        <w:gridCol w:w="2029"/>
      </w:tblGrid>
      <w:tr>
        <w:tc>
          <w:tcPr>
            <w:tcW w:type="dxa" w:w="658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Variable</w:t>
            </w:r>
          </w:p>
        </w:tc>
        <w:tc>
          <w:tcPr>
            <w:tcW w:type="dxa" w:w="1567"/>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Abbr.</w:t>
            </w:r>
          </w:p>
        </w:tc>
        <w:tc>
          <w:tcPr>
            <w:tcW w:type="dxa" w:w="202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Stationary at</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Земельный налог на земли несельхоз. назначения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Land_nagr</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факторным издержкам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Gdp_fc</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r>
        <w:tc>
          <w:tcPr>
            <w:tcW w:type="dxa" w:w="65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ВВП</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моделирование с исправлением ошибок (ЕСМ) представляется возможным вариантом. Но перед использованием модели коррекции ошибок (ЕСМ) необходимо выполнить тест на коинтеграцию.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тестирования не могут подтвердить какое-либо коинтегрирующее уравнение. Поэтому была выбрана модель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93,26%. Это означает, что колебания земельного налога в несельскохозяйственных секторах почти полностью объясняются независимыми переменными. Уравнение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статистически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хотя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Другие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land_nagr не имеет последовательной корреляции, гетероскедастичности или проблемы нормального распределения.</w:t>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земельного налога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Налог на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3.3.1. Недвижимое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f (construction, price level)</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Парные тесты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Изучив данные, мы смогли найти причинно-следственную связь между налогом на строительство и налогом на недвижимость. Тест подтвердил причинно-следственную связь между налогом на недвижимость и строительным производством в первом результате. Затем проверяется связь недвижимости с уровнем цен, измеряемым дефлятором ВВП.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Во-вторых, была доказана причинно-следственная связь между изменением цен (pgdp) и налогом на недвижимость в первой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выбранными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78"/>
        <w:gridCol w:w="2290"/>
        <w:gridCol w:w="2711"/>
      </w:tblGrid>
      <w:tr>
        <w:tc>
          <w:tcPr>
            <w:tcW w:type="dxa" w:w="5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9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Сокращение</w:t>
            </w:r>
          </w:p>
        </w:tc>
        <w:tc>
          <w:tcPr>
            <w:tcW w:type="dxa" w:w="27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 на недвижимое имущество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Ргор_re</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Constr</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5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gdp</w:t>
            </w:r>
          </w:p>
        </w:tc>
        <w:tc>
          <w:tcPr>
            <w:tcW w:type="dxa" w:w="22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w:t>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уровне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на наличие единичного корня, в качестве метода оценки выбран ARDL. Результат оценки следующий: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92,69%.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0,14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CIT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налога на недвижимость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3.3.2. Налог на имущество - транспортные средства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Функциональная форма определяется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prop_trans = f (transport, inflation)</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 с помощью теста причинности Грейнджера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Однонаправленная причинность существует. Налог на имущество транспортных средств может повлиять на услуги транспортного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Тест Грейнджера показывает, что изменения в уровне цен могут влиять на объем производства в транспортном секторе. И впоследствии развитие транспортного сектора отражалось на налогообложении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36"/>
        <w:gridCol w:w="1574"/>
        <w:gridCol w:w="2268"/>
      </w:tblGrid>
      <w:tr>
        <w:tc>
          <w:tcPr>
            <w:tcW w:type="dxa" w:w="6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EViews</w:t>
            </w:r>
          </w:p>
        </w:tc>
        <w:tc>
          <w:tcPr>
            <w:tcW w:type="dxa" w:w="226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Стационарный</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Имущественный налог на транспортные средства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Prop_trans</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Transport</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разности</w:t>
            </w:r>
          </w:p>
        </w:tc>
      </w:tr>
      <w:tr>
        <w:tc>
          <w:tcPr>
            <w:tcW w:type="dxa" w:w="6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2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 результатам тестирования единичного корня выбрана модель </w:t>
      </w:r>
      <w:r>
        <w:rPr>
          <w:rFonts w:ascii="Arial" w:cs="Arial" w:eastAsia="Arial" w:hAnsi="Arial"/>
          <w:b/>
          <w:bCs/>
          <w:sz w:val="24"/>
          <w:szCs w:val="24"/>
        </w:rPr>
        <w:t xml:space="preserve">VAR</w:t>
      </w:r>
      <w:r>
        <w:rPr>
          <w:rFonts w:ascii="Arial" w:cs="Arial" w:eastAsia="Arial" w:hAnsi="Arial"/>
          <w:sz w:val="24"/>
          <w:szCs w:val="24"/>
        </w:rPr>
        <w:t xml:space="preserve">. Результаты проиллюстрированы в таблице ниже.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97,96%.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равны 0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 даже если Т-статистика низкая.</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модель prop_trans не страдает от серийной корреляции и гетероскедастичности. Однако, ожидается проблема нормального распределения.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Имущественный налог на транспортные средства - прогноз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функциональной форме предполагалось, что роялти зависит от развития горнодобывающего сектора и общего уровня цен.</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Roy = f (mining, pgdp_2010)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Парный тест на причинно-следственную связь Грейнджера подтверждает однонаправленную связь, т.е. добыча полезных ископаемых вызывает изменения в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Изменения в уровне цен не оказывают влияния на налог на роялти. По крайней мере, протестированные цены не показали такой зависимости.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7"/>
        <w:gridCol w:w="2272"/>
        <w:gridCol w:w="3149"/>
      </w:tblGrid>
      <w:tr>
        <w:tc>
          <w:tcPr>
            <w:tcW w:type="dxa" w:w="47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EViews</w:t>
            </w:r>
          </w:p>
        </w:tc>
        <w:tc>
          <w:tcPr>
            <w:tcW w:type="dxa" w:w="314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Стационарный</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Роялти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гоу</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Пользование недрами</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mining</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r>
        <w:tc>
          <w:tcPr>
            <w:tcW w:type="dxa" w:w="47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реального ВВП</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Pgdp_2010</w:t>
            </w:r>
          </w:p>
        </w:tc>
        <w:tc>
          <w:tcPr>
            <w:tcW w:type="dxa" w:w="31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разности</w:t>
            </w:r>
          </w:p>
        </w:tc>
      </w:tr>
    </w:tbl>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Стационарный в первой разности. Полученные результаты позволяют провести моделирование коррекции ошибок. Коинтеграционный тест Йохансена подтвердил наличие 2 коинтеграционных уравнений на уровне 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Поэтому в качестве метода оценки было выбрано моделирование коррекции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Интерпретировать результаты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62,64%.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0,99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рамках остаточной диагностики уравнение тестировалось на:</w:t>
      </w:r>
    </w:p>
    <w:p>
      <w:pPr>
        <w:spacing w:after="120"/>
        <w:jc w:val="both"/>
      </w:pPr>
      <w:r>
        <w:rPr>
          <w:rFonts w:ascii="Arial" w:cs="Arial" w:eastAsia="Arial" w:hAnsi="Arial"/>
          <w:sz w:val="24"/>
          <w:szCs w:val="24"/>
        </w:rPr>
        <w:t xml:space="preserve">- серийную корреляцию, результат: остатки не имеют серийной корреляции;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не распределены нормально.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приведенных выше тестов доказывают, что модель Роялти не страдает последовательной корреляцией или гетероскедастичностью. Единственная проблема заключается в нормальном распределении остатков. Несмотря на это уравнение приемлемо.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 на стабильность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Специальные налоговые режимы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Функциональная форма: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str = f (wholesale, hotres, prof)</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Легенда: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0"/>
        <w:gridCol w:w="9048"/>
      </w:tblGrid>
      <w:tr>
        <w:tc>
          <w:tcPr>
            <w:tcW w:type="dxa" w:w="113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90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и ремонт</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r>
      <w:tr>
        <w:tc>
          <w:tcPr>
            <w:tcW w:type="dxa" w:w="11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90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Профессиональная, научная и техническая деятельность</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Изучение данных</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Причинно-следственная связь между тремя вышеуказанными секторами и специальным налоговым режимом носит смешанный характер, что позволяет нам использовать эти секторы для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Тестирование на наличие единичного корня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Резюме: результаты тестирования ADF с соответствующими переменными.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14"/>
        <w:gridCol w:w="2272"/>
        <w:gridCol w:w="2692"/>
      </w:tblGrid>
      <w:tr>
        <w:tc>
          <w:tcPr>
            <w:tcW w:type="dxa" w:w="52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Переменная</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Сокращение</w:t>
            </w:r>
          </w:p>
        </w:tc>
        <w:tc>
          <w:tcPr>
            <w:tcW w:type="dxa" w:w="26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Стационарный</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Специальный налоговый режим</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str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розничная торговля</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Wrtr</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hotres</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1-ой разнице</w:t>
            </w:r>
          </w:p>
        </w:tc>
      </w:tr>
      <w:tr>
        <w:tc>
          <w:tcPr>
            <w:tcW w:type="dxa" w:w="52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Профессиональная деятельность</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prof</w:t>
            </w:r>
          </w:p>
        </w:tc>
        <w:tc>
          <w:tcPr>
            <w:tcW w:type="dxa" w:w="2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2-ой разнице</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Выбор метода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 учетом результатов тестирования ADF, </w:t>
      </w:r>
      <w:r>
        <w:rPr>
          <w:rFonts w:ascii="Arial" w:cs="Arial" w:eastAsia="Arial" w:hAnsi="Arial"/>
          <w:b/>
          <w:bCs/>
          <w:sz w:val="24"/>
          <w:szCs w:val="24"/>
        </w:rPr>
        <w:t xml:space="preserve">авторегрессионные модели</w:t>
      </w:r>
      <w:r>
        <w:rPr>
          <w:rFonts w:ascii="Arial" w:cs="Arial" w:eastAsia="Arial" w:hAnsi="Arial"/>
          <w:sz w:val="24"/>
          <w:szCs w:val="24"/>
        </w:rPr>
        <w:t xml:space="preserve"> представляются оптимальным решением. Результат оценки выглядит следующим образом: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Интерпретация результатов оценки.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Хорошо подобранная модель со статистической точки зрения должна соответствовать следующим критериям:</w:t>
      </w:r>
    </w:p>
    <w:p>
      <w:pPr>
        <w:spacing w:after="120"/>
        <w:ind w:firstLine="708"/>
        <w:jc w:val="both"/>
      </w:pPr>
      <w:r>
        <w:rPr>
          <w:rFonts w:ascii="Arial" w:cs="Arial" w:eastAsia="Arial" w:hAnsi="Arial"/>
          <w:b/>
          <w:bCs/>
          <w:sz w:val="24"/>
          <w:szCs w:val="24"/>
        </w:rPr>
        <w:t xml:space="preserve">1. R-квадрат должен быть больше 60%</w:t>
      </w:r>
    </w:p>
    <w:p>
      <w:pPr>
        <w:spacing w:after="120"/>
        <w:ind w:firstLine="708"/>
        <w:jc w:val="both"/>
      </w:pPr>
      <w:r>
        <w:rPr>
          <w:rFonts w:ascii="Arial" w:cs="Arial" w:eastAsia="Arial" w:hAnsi="Arial"/>
          <w:sz w:val="24"/>
          <w:szCs w:val="24"/>
        </w:rPr>
        <w:t xml:space="preserve">Наше значение R-квадрата составляет 82,18%. Это означает, что колебания земельного налога в несельскохозяйственных секторах почти полностью объясняются независимыми переменными. Эта модель нам подходит.</w:t>
      </w:r>
    </w:p>
    <w:p>
      <w:pPr>
        <w:spacing w:after="120"/>
        <w:ind w:firstLine="708"/>
        <w:jc w:val="both"/>
      </w:pPr>
      <w:r>
        <w:rPr>
          <w:rFonts w:ascii="Arial" w:cs="Arial" w:eastAsia="Arial" w:hAnsi="Arial"/>
          <w:b/>
          <w:bCs/>
          <w:sz w:val="24"/>
          <w:szCs w:val="24"/>
        </w:rPr>
        <w:t xml:space="preserve">2. Большинство независимых переменных должны быть значимыми</w:t>
      </w:r>
    </w:p>
    <w:p>
      <w:pPr>
        <w:spacing w:after="120"/>
        <w:ind w:firstLine="708"/>
        <w:jc w:val="both"/>
      </w:pPr>
      <w:r>
        <w:rPr>
          <w:rFonts w:ascii="Arial" w:cs="Arial" w:eastAsia="Arial" w:hAnsi="Arial"/>
          <w:sz w:val="24"/>
          <w:szCs w:val="24"/>
        </w:rPr>
        <w:t xml:space="preserve">Большинство независимых переменных не являются значимыми. Т-статистика низкая или P-значения очень высокие.</w:t>
      </w:r>
    </w:p>
    <w:p>
      <w:pPr>
        <w:spacing w:after="120"/>
        <w:ind w:firstLine="708"/>
        <w:jc w:val="both"/>
      </w:pPr>
      <w:r>
        <w:rPr>
          <w:rFonts w:ascii="Arial" w:cs="Arial" w:eastAsia="Arial" w:hAnsi="Arial"/>
          <w:b/>
          <w:bCs/>
          <w:sz w:val="24"/>
          <w:szCs w:val="24"/>
        </w:rPr>
        <w:t xml:space="preserve">3. Все независимые переменные должны быть совместно значимыми</w:t>
      </w:r>
    </w:p>
    <w:p>
      <w:pPr>
        <w:spacing w:after="120"/>
        <w:ind w:firstLine="708"/>
        <w:jc w:val="both"/>
      </w:pPr>
      <w:r>
        <w:rPr>
          <w:rFonts w:ascii="Arial" w:cs="Arial" w:eastAsia="Arial" w:hAnsi="Arial"/>
          <w:sz w:val="24"/>
          <w:szCs w:val="24"/>
        </w:rPr>
        <w:t xml:space="preserve">Для случая совместной значимости следует использовать F-статистику. Если F-статистика и соответствующая ей вероятность составляют 1,96 (менее 5%), все объясняющие переменные могут совместно влиять на зависимую переменную. Принимая во внимание другие критерии оценки, которые являются удовлетворительными, мы можем принять модель.</w:t>
      </w:r>
    </w:p>
    <w:p>
      <w:pPr>
        <w:spacing w:after="120"/>
        <w:ind w:firstLine="708"/>
        <w:jc w:val="both"/>
      </w:pPr>
      <w:r>
        <w:rPr>
          <w:rFonts w:ascii="Arial" w:cs="Arial" w:eastAsia="Arial" w:hAnsi="Arial"/>
          <w:b/>
          <w:bCs/>
          <w:sz w:val="24"/>
          <w:szCs w:val="24"/>
        </w:rPr>
        <w:t xml:space="preserve">4. Знаки коэффициентов</w:t>
      </w:r>
    </w:p>
    <w:p>
      <w:pPr>
        <w:spacing w:after="120"/>
        <w:ind w:firstLine="708"/>
        <w:jc w:val="both"/>
      </w:pPr>
      <w:r>
        <w:rPr>
          <w:rFonts w:ascii="Arial" w:cs="Arial" w:eastAsia="Arial" w:hAnsi="Arial"/>
          <w:sz w:val="24"/>
          <w:szCs w:val="24"/>
        </w:rPr>
        <w:t xml:space="preserve">Знак коэффициентов должен следовать либо экономической теории, либо ожиданиям, либо интуиции. Положительный знак означает, что если независимая переменная увеличится на 1 единицу, налоговые поступления также вырастут. При условии, что другие независимые переменные остаются постоянными. Если знак отрицательный, то если независимая переменная увеличится на 1 единицу, сбор налогов уменьшится, при условии, что остальные независимые переменные фиксированы.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Остаточная диагностика</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 рамках остаточной диагностики уравнение тестировалось на:</w:t>
      </w:r>
    </w:p>
    <w:p>
      <w:pPr>
        <w:spacing w:after="120"/>
        <w:ind w:firstLine="708"/>
        <w:jc w:val="both"/>
      </w:pPr>
      <w:r>
        <w:rPr>
          <w:rFonts w:ascii="Arial" w:cs="Arial" w:eastAsia="Arial" w:hAnsi="Arial"/>
          <w:sz w:val="24"/>
          <w:szCs w:val="24"/>
        </w:rPr>
        <w:t xml:space="preserve">- серийную корреляцию, результат: остатки последовательно коррелированы;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гетероскедастичность, результат: гетероскедастичность отсутствует;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нормальное распределение, результат: остатки нормально распределены.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трех вышеприведенных тестов доказывают, что уравнение str является сильной со статистической точки зрения.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Прогноз STR, созданный моделью.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Копирование оценочных уравнений в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Теперь все оценочные уравнения должны быть помещены в рабочий файл. Следующим шагом будет их копирование в модель. Как это может быть выполнено.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Руководство</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Возьмем в качестве примера налог на недвижимость. Нажмите на</w:t>
      </w:r>
      <w:r>
        <w:rPr>
          <w:rFonts w:ascii="Arial" w:cs="Arial" w:eastAsia="Arial" w:hAnsi="Arial"/>
          <w:sz w:val="24"/>
          <w:szCs w:val="24"/>
        </w:rPr>
        <w:t xml:space="preserve"> prop_re_eq, </w:t>
      </w:r>
      <w:r>
        <w:rPr>
          <w:rFonts w:ascii="Arial" w:cs="Arial" w:eastAsia="Arial" w:hAnsi="Arial"/>
          <w:sz w:val="24"/>
          <w:szCs w:val="24"/>
        </w:rPr>
        <w:t xml:space="preserve">затем</w:t>
      </w:r>
      <w:r>
        <w:rPr>
          <w:rFonts w:ascii="Arial" w:cs="Arial" w:eastAsia="Arial" w:hAnsi="Arial"/>
          <w:sz w:val="24"/>
          <w:szCs w:val="24"/>
        </w:rPr>
        <w:t xml:space="preserve">, View/Representations.</w:t>
      </w:r>
    </w:p>
    <w:p>
      <w:pPr>
        <w:spacing w:after="120"/>
        <w:ind w:firstLine="708"/>
        <w:jc w:val="both"/>
      </w:pPr>
      <w:r>
        <w:rPr>
          <w:rFonts w:ascii="Arial" w:cs="Arial" w:eastAsia="Arial" w:hAnsi="Arial"/>
          <w:sz w:val="24"/>
          <w:szCs w:val="24"/>
        </w:rPr>
        <w:t xml:space="preserve">Параллельно открываем модель kg_revenue_lc_model, нажимаем "Text".</w:t>
      </w:r>
    </w:p>
    <w:p>
      <w:pPr>
        <w:spacing w:after="120"/>
        <w:ind w:firstLine="708"/>
        <w:jc w:val="both"/>
      </w:pPr>
      <w:r>
        <w:rPr>
          <w:rFonts w:ascii="Arial" w:cs="Arial" w:eastAsia="Arial" w:hAnsi="Arial"/>
          <w:sz w:val="24"/>
          <w:szCs w:val="24"/>
        </w:rPr>
        <w:t xml:space="preserve">Панели ниже показывают расчетное уравнение для таможенных пошлин (слева) и модель доходов (справа).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Последний шаг - скопировать prop_re_eq в модель. В этом контексте важно отметить, что переменная prop_re_f представляет собой только эконометрическую оценку, а не общий прогноз налога на недвижимость.</w:t>
      </w:r>
    </w:p>
    <w:p>
      <w:pPr>
        <w:spacing w:after="120"/>
        <w:ind w:firstLine="708"/>
        <w:jc w:val="both"/>
      </w:pPr>
      <w:r>
        <w:rPr>
          <w:rFonts w:ascii="Arial" w:cs="Arial" w:eastAsia="Arial" w:hAnsi="Arial"/>
          <w:sz w:val="24"/>
          <w:szCs w:val="24"/>
        </w:rPr>
        <w:t xml:space="preserve">Общий налог на недвижимость прогнозируется по уравнению </w:t>
      </w:r>
      <w:r>
        <w:rPr>
          <w:rFonts w:ascii="Arial" w:cs="Arial" w:eastAsia="Arial" w:hAnsi="Arial"/>
          <w:sz w:val="24"/>
          <w:szCs w:val="24"/>
        </w:rPr>
        <w:t xml:space="preserve">(</w:t>
      </w:r>
      <w:r>
        <w:rPr>
          <w:rFonts w:ascii="Arial" w:cs="Arial" w:eastAsia="Arial" w:hAnsi="Arial"/>
          <w:sz w:val="24"/>
          <w:szCs w:val="24"/>
        </w:rPr>
        <w:t xml:space="preserve">см</w:t>
      </w:r>
      <w:r>
        <w:rPr>
          <w:rFonts w:ascii="Arial" w:cs="Arial" w:eastAsia="Arial" w:hAnsi="Arial"/>
          <w:sz w:val="24"/>
          <w:szCs w:val="24"/>
        </w:rPr>
        <w:t xml:space="preserve">. </w:t>
      </w:r>
      <w:r>
        <w:rPr>
          <w:rFonts w:ascii="Arial" w:cs="Arial" w:eastAsia="Arial" w:hAnsi="Arial"/>
          <w:sz w:val="24"/>
          <w:szCs w:val="24"/>
        </w:rPr>
        <w:t xml:space="preserve">модель</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prop_re = prop_re_f + prop_re_add</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Роль дополнительных (add) факторов (prop_re_add) объясняется в Руководстве пользователя по моделированию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4. Модель доходов</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Модель прогнозирования доходов состоит из основной модели доходов </w:t>
      </w:r>
      <w:r>
        <w:rPr>
          <w:rFonts w:ascii="Arial" w:cs="Arial" w:eastAsia="Arial" w:hAnsi="Arial"/>
          <w:b/>
          <w:bCs/>
          <w:sz w:val="24"/>
          <w:szCs w:val="24"/>
        </w:rPr>
        <w:t xml:space="preserve">(kg_lc_revenue_model)</w:t>
      </w:r>
      <w:r>
        <w:rPr>
          <w:rFonts w:ascii="Arial" w:cs="Arial" w:eastAsia="Arial" w:hAnsi="Arial"/>
          <w:sz w:val="24"/>
          <w:szCs w:val="24"/>
        </w:rPr>
        <w:t xml:space="preserve"> и модели, связанной с экзогенными переменными </w:t>
      </w:r>
      <w:r>
        <w:rPr>
          <w:rFonts w:ascii="Arial" w:cs="Arial" w:eastAsia="Arial" w:hAnsi="Arial"/>
          <w:b/>
          <w:bCs/>
          <w:sz w:val="24"/>
          <w:szCs w:val="24"/>
        </w:rPr>
        <w:t xml:space="preserve">(kg_lc_revenue_exgenous).</w:t>
      </w:r>
      <w:r>
        <w:rPr>
          <w:rFonts w:ascii="Arial" w:cs="Arial" w:eastAsia="Arial" w:hAnsi="Arial"/>
          <w:sz w:val="24"/>
          <w:szCs w:val="24"/>
        </w:rPr>
        <w:t xml:space="preserve"> В рабочем файле обозначены синим цветом.</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i/>
          <w:iCs/>
          <w:sz w:val="24"/>
          <w:szCs w:val="24"/>
        </w:rPr>
        <w:t xml:space="preserve">Примечание: убедитесь, что вы работаете на странице L_revenue.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решить обе модели, просто щелкните "Solve" на панели кнопок окна модели. Экзогенная модель доходов должна быть решена в первую очередь.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Щелкните "ОК". Результат визуализируется при условии, что при выполнении вычислений не было ошибок.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Изучение результатов решения в примере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Чтобы просмотреть графики, содержащие фактические и установленные значения для эндогенных переменных в нашей модели, мы выбираем четыре переменные (удерживая нажатой клавишу управления и щелкая имена переменных), затем используем Proc/Make Graph... для входа в диалоговое окно. (Имена четырех серий будут предварительно заполнены в разделе "Переменные модели". В качестве альтернативы мы могли бы просто выбрать Proc/Make Graph.., а затем задать в раскрывающемся списке "Переменные модели" значение "Эндогенные переменные").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Нажмите "ОК". И соответствующие графики будут доступны для анализа.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Прогнозирование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только мы будем удовлетворены работой нашей модели относительно данных за прошлые периоды, мы можем использовать модель для прогнозирования будущих значений наших эндогенных переменных.</w:t>
      </w:r>
    </w:p>
    <w:p>
      <w:pPr>
        <w:spacing w:after="120"/>
        <w:ind w:firstLine="708"/>
        <w:jc w:val="both"/>
      </w:pPr>
      <w:r>
        <w:rPr>
          <w:rFonts w:ascii="Arial" w:cs="Arial" w:eastAsia="Arial" w:hAnsi="Arial"/>
          <w:sz w:val="24"/>
          <w:szCs w:val="24"/>
        </w:rPr>
        <w:t xml:space="preserve">Первым шагом в создании такого прогноза является определение значений для наших экзогенных переменных в течение прогнозируемого периода. Они могут быть основаны на наших предположениях о том, что произойдет в действительности, или они могут быть просто одной конкретной возможностью, которую мы заинтересованы рассмотреть. Часто мы будем заинтересованы в построении нескольких различных путей, а затем сравнении результатов.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4.3. Сценарии моделей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Ознакомьтесь также с методологией прогнозирования доходов на центральном уровне.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Сценарии моделей позволяют изучить поведение модели при альтернативных допущениях в отношении экзогенных переменных. В нашем случае были разработаны базовый и три альтернативных сценария.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Базовый сценарий (обозначен нулем), т.е. прогноз местных налогов был выполнен с использованием данных за прошлые периоды, полученных из FP. Сценарии 1, 2 и 3 (например, обозначенные как lnad_1, land_2 и land_3) являются альтернативными сценариями, в которых значения эндогенных переменных присваиваются рядам рабочих файлов с расширением, специфичным для данного сценария, что упрощает хранение нескольких решений для модели в одном рабочем файле.</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Откройте основную модель и щелкните на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Базовый сценарий</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Прогноз налоговой структуры основан на прогнозе экзогенных переменных, главным образом определяемых структурой финансового программирования. Результаты модели обозначаются нулем после каждой эндогенной переменной. Например, гоу_0 - это базовый прогноз подоходного налога, полученный на основе заданных прогнозов экзогенных переменных.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1 - влияние роста объемов производства в строительном секторе на земельный налог на земли несельскохозяйственного назначения</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Допустим, что в сценарии 1 рост объема производства в строительном секторе будет выше прогнозируемого в базовом сценарии. Рост строительного производства оказал влияние на рост ВВП (по факторным затратам) на 2%. В столбце С представлены базовые значения, а столбце В - увеличение в сценарии 1. Разность показана в столбце D в абсолютном выражении и в процентном изменении (столбец 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Влияние роста ВВП (по факторным издержкам) оказало влияние на увеличение сбора земельного налога (в частности, в несельскохозяйственном секторе, строительстве), как показано в таблице ниже. И в этом случае land_nagr_0 представляет собой базовый прогноз, a land_nagr_1 - сценарий 1, на который повлияли более высокие темпы роста ВВП. Ожидается, что соответствующая дельта окажет влияние на земельный налог.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2 - влияние роста объемов производства в горнодобывающем секторе на роялти</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Из нижеприведенных таблиц видно, что рост объемов производства в горнодобывающем секторе превышает показатели, прогнозируемые в базовом сценарии.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1, в таблицах показано соответствующее влияние на прогнозируемый сбор роялти.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Сценарий 3 - влияние роста объемов в выбранном секторе экономики на специальные налоговые режимы</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Предположим, рост в вышеуказанных секторах оценивается следующим образом:</w:t>
      </w:r>
    </w:p>
    <w:p>
      <w:pPr>
        <w:spacing w:after="120"/>
        <w:ind w:firstLine="708"/>
        <w:jc w:val="both"/>
      </w:pPr>
      <w:r>
        <w:rPr>
          <w:rFonts w:ascii="Arial" w:cs="Arial" w:eastAsia="Arial" w:hAnsi="Arial"/>
          <w:sz w:val="24"/>
          <w:szCs w:val="24"/>
        </w:rPr>
        <w:t xml:space="preserve">- оптовая, розничная торговля и ремонт - 3%;</w:t>
      </w:r>
    </w:p>
    <w:p>
      <w:pPr>
        <w:spacing w:after="120"/>
        <w:ind w:firstLine="708"/>
        <w:jc w:val="both"/>
      </w:pPr>
      <w:r>
        <w:rPr>
          <w:rFonts w:ascii="Arial" w:cs="Arial" w:eastAsia="Arial" w:hAnsi="Arial"/>
          <w:sz w:val="24"/>
          <w:szCs w:val="24"/>
        </w:rPr>
        <w:t xml:space="preserve">- гостиницы и рестораны - 3%;</w:t>
      </w:r>
    </w:p>
    <w:p>
      <w:pPr>
        <w:spacing w:after="120"/>
        <w:ind w:firstLine="708"/>
        <w:jc w:val="both"/>
      </w:pPr>
      <w:r>
        <w:rPr>
          <w:rFonts w:ascii="Arial" w:cs="Arial" w:eastAsia="Arial" w:hAnsi="Arial"/>
          <w:sz w:val="24"/>
          <w:szCs w:val="24"/>
        </w:rPr>
        <w:t xml:space="preserve">- профессиональная, научная и техническая деятельность - 3%.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Как и в случае сценария 2, в таблицах показано соответствующее влияние на сбор в рамках STR.</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5. Результаты моделирования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Экспорт результатов моделирования из EViews в Excel</w:t>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Результаты моделирования хранятся в виде группы временных рядов в рабочем файле EViews. Например, базовый сценарий можно найти в виде группы временных рядов под названием: kg_lb_baseline.</w:t>
      </w:r>
    </w:p>
    <w:p>
      <w:pPr>
        <w:spacing w:after="120"/>
        <w:ind w:firstLine="708"/>
        <w:jc w:val="both"/>
      </w:pPr>
      <w:r>
        <w:rPr>
          <w:rFonts w:ascii="Arial" w:cs="Arial" w:eastAsia="Arial" w:hAnsi="Arial"/>
          <w:sz w:val="24"/>
          <w:szCs w:val="24"/>
        </w:rPr>
        <w:t xml:space="preserve">Результаты моделирования могут быть легко экспортированы или скопированы из EViews в файл Excel (прилагается к настоящему документу).".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w:t>
      </w:r>
      <w:hyperlink w:history="1" r:id="rIdy40oscuso9hk40kokjj3r">
        <w:r>
          <w:rPr>
            <w:rFonts w:ascii="Arial" w:cs="Arial" w:eastAsia="Arial" w:hAnsi="Arial"/>
            <w:b w:val="false"/>
            <w:bCs w:val="false"/>
            <w:color w:val="1D4ED8"/>
            <w:sz w:val="24"/>
            <w:szCs w:val="24"/>
            <w:u w:val="single"/>
          </w:rPr>
          <w:t xml:space="preserve">Приложение 1</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Реестр</w:t>
      </w:r>
    </w:p>
    <w:p>
      <w:pPr>
        <w:spacing w:after="120"/>
        <w:jc w:val="center"/>
      </w:pPr>
      <w:r>
        <w:rPr>
          <w:rFonts w:ascii="Arial" w:cs="Arial" w:eastAsia="Arial" w:hAnsi="Arial"/>
          <w:b/>
          <w:bCs/>
          <w:sz w:val="24"/>
          <w:szCs w:val="24"/>
        </w:rPr>
        <w:t xml:space="preserve">(перечень) источников поступлений в бюджет по</w:t>
      </w:r>
    </w:p>
    <w:p>
      <w:pPr>
        <w:spacing w:after="120"/>
        <w:jc w:val="center"/>
      </w:pPr>
      <w:r>
        <w:rPr>
          <w:rFonts w:ascii="Arial" w:cs="Arial" w:eastAsia="Arial" w:hAnsi="Arial"/>
          <w:b/>
          <w:bCs/>
          <w:sz w:val="24"/>
          <w:szCs w:val="24"/>
        </w:rPr>
        <w:t xml:space="preserve">администраторам ресурсов бюджета</w:t>
      </w:r>
    </w:p>
    <w:p>
      <w:pPr>
        <w:spacing w:after="120"/>
        <w:jc w:val="center"/>
      </w:pPr>
      <w:r>
        <w:rPr>
          <w:rFonts w:ascii="Arial" w:cs="Arial" w:eastAsia="Arial" w:hAnsi="Arial"/>
          <w:b/>
          <w:bCs/>
          <w:sz w:val="24"/>
          <w:szCs w:val="24"/>
        </w:rPr>
        <w:t xml:space="preserve">Кыргызской Республики в соответствии с</w:t>
      </w:r>
    </w:p>
    <w:p>
      <w:pPr>
        <w:spacing w:after="120"/>
        <w:jc w:val="center"/>
      </w:pPr>
      <w:r>
        <w:rPr>
          <w:rFonts w:ascii="Arial" w:cs="Arial" w:eastAsia="Arial" w:hAnsi="Arial"/>
          <w:b/>
          <w:bCs/>
          <w:sz w:val="24"/>
          <w:szCs w:val="24"/>
        </w:rPr>
        <w:t xml:space="preserve">Бюджетной классификацией Кыргызской Республики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Министерство экономики и коммерции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государственную 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на право ведения операций с ценными бумагами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государственных лотерей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Министерство финансов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 иностранных автоперевозчиков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вывоз мусора из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за опробование, анализ и клеймение ювелирных и других бытовых изделий из драгоценных металлов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выявленной контрабанды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конфискованного, бесхозяйного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служебно-розыскных собак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и содержание инфраструктуры местного значения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Погашение прочей внутренней дебиторской задолженности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выданным бюджетным кредитам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Таможенные платежи, специальные антидемпинговые, компенсационные пошлины, взимаемые в соответствии с Таможенным кодексом Евразийского экономического союза, Налоговым кодексом Кыргызской Республики и законодательством Кыргызской Республики в сфере таможенного дела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Налоги в соответствии с Налоговым кодексом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Министерство иностранных дел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Министерство юстиции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государственную регистрацию (перерегистрацию)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юстиции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Министерство транспорта и коммуникаций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взвешивание, измерение максимальных размеров и других линейных параметров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пропуск транспортных средств со специальным и неделимым грузом по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проезд по искусственным сооружениям на автомобильных дорогах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передачу в аренду земельных участков, расположенных в полосе отвода и придорожной полосе автомобильных дорог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по проектам государственно-частного партнерства в сфере автомобильных дорог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вреда и ущерба, причиненного автомобильным дорогам общего пользования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Министерство сельского хозяйства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природными объектами растительного, животного мира, грибами и государственным лесным фондом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природными ресурсами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нанесенного объектам животного, растительного мира, грибам и государственному лесному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убытков и потерь сельскохозяйственного и лесохозяйственного производства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Министерство энергетики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Министерство природных ресурсов, экологии и технического надзора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выдачу свидетельства о регистрации в едином государственном реестре</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право разработки месторождений полезных ископаемых или ископаемого топлива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предоставление права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загрязнение окружающей среды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Утилизационный сбор</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лесными ресурсами и пользование природными объектами растительного, животного мира и грибами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природных ресурсов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удержание лицензии на право пользования недрами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ущерба, нанесенного объектам животного, растительного мира, грибам и государственному лесному фонду</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в возмещение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международных институтов для проведения совместной научно-исследовательской работы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платежи за использование природных активов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Министерство здравоохранения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Министерство образования и науки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11. Министерство культуры, информации, спорта и молодежной политики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12. Министерство труда, социального обеспечения и миграции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органами миграционной службы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13. Министерство обороны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Сборы, связанные с воинской обязанностью</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прочих транспортных средств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 Министерство внутренних дел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проставление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Министерство чрезвычайных ситуаций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Министерство цифрового развития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использование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от проведения конкурса на право пользования полос радиочастотного спектра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регистрационными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Прочая государственная пошлина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на развитие отрасли связи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Государственный комитет национальной безопасности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причиненного ущерба по экономическим преступлениям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от реализации конфискованного, бесхозяйного и выморочного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Государственное агентство архитектуры, строительства и жилищно-коммунального хозяйства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классификационных сертификатов и других разрешительных документов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Государственное агентство интеллектуальной собственности и инноваций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Патентные и иные пошлины, сборы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Государственное агентство по защите персональных данных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21. Государственное агентство гражданской авиации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22. Государственное агентство по контролю за производством и оборотом этилового спирта, алкогольной продукции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и пени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23. Государственное агентство по управлению государственным имуществом при Кабинете Министров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государственный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других форм участия в капитале (приватизация)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Доходы, обращенные в пользу государства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проведения контрольно-надзорных мероприятий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24. Национальный банк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Национального банка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за выдачу лицензии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25. Верховный суд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пошлина, взимаемая судебными органами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26. Судебный департамент при Верховном суде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проставления апостиля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27. Национальный статистический комитет Кыргызской Республики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28. Органы местного самоуправления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парковку и стоянку автотранспорта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осуществление деятельности по производству и обороту этилового спирта и алкогольной продукции субъектами, осуществляющими реализацию алкогольной продукции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водными ресурсами и водными объектами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за пользование пастбищными угодьями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сооружений, оборудований и техники, находящихся в муниципальной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прочего имущества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земли населенных пунктов</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Арендная плата за пользование землями Государственного фонда сельскохозяйственных угодий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Дивиденды, начисленные на муниципальный пакет акций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по возмещению экологического ущерба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Отчисления от прибыли муниципальных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муниципальных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Добровольные трансферты и гранты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Возмещение упущенной выгоды</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операций с финансовыми и нефинансовыми активами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по бюджетным кредитам, выданным из местного бюджета</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29. Генеральная прокуратура и его подведомственные подразделения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Штрафы, пени, финансовые санкции по штрафам</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194</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30. Управление делами Президента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195</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197</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государственных предприятий</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198</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31. Национальная аттестационная комиссия при Президенте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199</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32. Национальная академия наук Кыргызской Республики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Плата за аренду помещений, зданий и сооружений, находящихся в государственной собственности</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202</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Поступления от оказания платных государственных услуг</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203</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неналоговые доходы, установленные законодательством Кыргызской Республики</w:t>
            </w:r>
          </w:p>
        </w:tc>
      </w:tr>
    </w:tbl>
    <w:p>
      <w:pPr>
        <w:spacing w:after="120"/>
        <w:jc w:val="right"/>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txp2skvo_dhktdetrwiv">
      <w:r>
        <w:rPr>
          <w:rFonts w:ascii="Arial" w:cs="Arial" w:eastAsia="Arial" w:hAnsi="Arial"/>
          <w:color w:val="132D3F"/>
          <w:sz w:val="16"/>
          <w:szCs w:val="16"/>
          <w:u w:val="single"/>
        </w:rPr>
        <w:t xml:space="preserve">dalil.kg/document/160488</w:t>
      </w:r>
    </w:hyperlink>
  </w:p>
  <w:p>
    <w:pPr>
      <w:spacing w:after="0" w:before="40"/>
      <w:jc w:val="center"/>
    </w:pPr>
    <w:hyperlink w:history="1" r:id="rIdaaa5cuvw3cdadegvmsvu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8cdc59ohebppv7ydpvz" Type="http://schemas.openxmlformats.org/officeDocument/2006/relationships/hyperlink" Target="https://dalil.kg/document/98134#pr1" TargetMode="External"/><Relationship Id="rIdf32hoewpxdxpv_trkxrl2" Type="http://schemas.openxmlformats.org/officeDocument/2006/relationships/hyperlink" Target="https://dalil.kg/document/98134#pr2" TargetMode="External"/><Relationship Id="rIdy40oscuso9hk40kokjj3r" Type="http://schemas.openxmlformats.org/officeDocument/2006/relationships/hyperlink" Target="https://dalil.kg/document/12715#pr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txp2skvo_dhktdetrwiv" Type="http://schemas.openxmlformats.org/officeDocument/2006/relationships/hyperlink" Target="https://dalil.kg/document/160488" TargetMode="External"/><Relationship Id="rIdaaa5cuvw3cdadegvmsvu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2026-09-23T20:31:37.955Z</dcterms:created>
  <dcterms:modified xsi:type="dcterms:W3CDTF">2026-09-23T20:31:37.955Z</dcterms:modified>
</cp:coreProperties>
</file>

<file path=docProps/custom.xml><?xml version="1.0" encoding="utf-8"?>
<Properties xmlns="http://schemas.openxmlformats.org/officeDocument/2006/custom-properties" xmlns:vt="http://schemas.openxmlformats.org/officeDocument/2006/docPropsVTypes"/>
</file>